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4"/>
        </w:rPr>
        <w:t>DR. SHERINE MARINA D'SOUZA BRAGANZA</w:t>
      </w:r>
    </w:p>
    <w:p>
      <w:pPr>
        <w:spacing w:after="40"/>
        <w:jc w:val="center"/>
      </w:pPr>
      <w:r>
        <w:rPr>
          <w:b w:val="0"/>
          <w:sz w:val="18"/>
        </w:rPr>
        <w:t>Senior Consultant &amp; Head, Vitreoretinal Services | Narayana Nethralaya II</w:t>
      </w:r>
    </w:p>
    <w:p>
      <w:pPr>
        <w:spacing w:after="120"/>
        <w:jc w:val="center"/>
      </w:pPr>
      <w:r>
        <w:rPr>
          <w:b w:val="0"/>
          <w:sz w:val="16"/>
        </w:rPr>
        <w:t>drsherine@gmail.com | +91 98453 66008 | KMC: 37,292</w:t>
      </w:r>
    </w:p>
    <w:p>
      <w:pPr>
        <w:spacing w:after="120"/>
        <w:jc w:val="center"/>
      </w:pPr>
      <w:hyperlink r:id="rId9">
        <w:r>
          <w:rPr>
            <w:rStyle w:val="Hyperlink"/>
            <w:color w:val="0563C1"/>
            <w:u w:val="single"/>
          </w:rPr>
          <w:t xml:space="preserve">Full Online Resume</w:t>
        </w:r>
      </w:hyperlink>
    </w:p>
    <w:p>
      <w:pPr>
        <w:pStyle w:val="Heading2"/>
        <w:spacing w:after="40"/>
      </w:pPr>
      <w:r>
        <w:rPr>
          <w:sz w:val="20"/>
        </w:rPr>
        <w:t>PROFESSIONAL SUMMARY</w:t>
      </w:r>
    </w:p>
    <w:p>
      <w:pPr>
        <w:spacing w:after="80"/>
      </w:pPr>
      <w:r>
        <w:rPr>
          <w:b w:val="0"/>
          <w:sz w:val="18"/>
        </w:rPr>
        <w:t>25+ years in surgical retina and ROP. Expert in complex VR surgery, ROP treatment, tele-ophthalmology, EMR design, infection control, and AI-driven healthcare. Strong background in postgraduate teaching and clinical research.</w:t>
      </w:r>
    </w:p>
    <w:p>
      <w:pPr>
        <w:pStyle w:val="Heading2"/>
        <w:spacing w:after="40"/>
      </w:pPr>
      <w:r>
        <w:rPr>
          <w:sz w:val="20"/>
        </w:rPr>
        <w:t>CORE EXPERTISE</w:t>
      </w:r>
    </w:p>
    <w:p>
      <w:pPr>
        <w:pStyle w:val="ListBullet"/>
        <w:spacing w:after="20"/>
      </w:pPr>
      <w:r>
        <w:rPr>
          <w:b w:val="0"/>
          <w:sz w:val="17"/>
        </w:rPr>
        <w:t>Complex VR surgery (RD, VH, complicated detachments) • ROP screening &amp; laser treatment</w:t>
      </w:r>
    </w:p>
    <w:p>
      <w:pPr>
        <w:pStyle w:val="ListBullet"/>
        <w:spacing w:after="20"/>
      </w:pPr>
      <w:r>
        <w:rPr>
          <w:b w:val="0"/>
          <w:sz w:val="17"/>
        </w:rPr>
        <w:t>Medical retina: FA/ICG, OCT/OCTA, ultrasonography • Tele-ophthalmology (KIDROP)</w:t>
      </w:r>
    </w:p>
    <w:p>
      <w:pPr>
        <w:pStyle w:val="ListBullet"/>
        <w:spacing w:after="20"/>
      </w:pPr>
      <w:r>
        <w:rPr>
          <w:b w:val="0"/>
          <w:sz w:val="17"/>
        </w:rPr>
        <w:t>AI &amp; data science in ophthalmology • EMR design &amp; health system innovation</w:t>
      </w:r>
    </w:p>
    <w:p>
      <w:pPr>
        <w:pStyle w:val="ListBullet"/>
        <w:spacing w:after="20"/>
      </w:pPr>
      <w:r>
        <w:rPr>
          <w:b w:val="0"/>
          <w:sz w:val="17"/>
        </w:rPr>
        <w:t>Postgraduate teaching &amp; DNB/NBE examining • Hospital infection control &amp; NABH auditing</w:t>
      </w:r>
    </w:p>
    <w:p>
      <w:pPr>
        <w:pStyle w:val="Heading2"/>
        <w:spacing w:after="40"/>
      </w:pPr>
      <w:r>
        <w:rPr>
          <w:sz w:val="20"/>
        </w:rPr>
        <w:t>CLINICAL EXPERIENCE</w:t>
      </w:r>
    </w:p>
    <w:p>
      <w:pPr>
        <w:pStyle w:val="ListBullet"/>
        <w:spacing w:after="20"/>
      </w:pPr>
      <w:r>
        <w:rPr>
          <w:b w:val="0"/>
          <w:sz w:val="17"/>
        </w:rPr>
        <w:t>Advanced vitreoretinal surgery — scleral buckling, vitrectomy (including 23g), complex and complicated retinal detachments, vitreous haemorrhage, and pars plana lensectomy with scleral-fixated IOL</w:t>
      </w:r>
    </w:p>
    <w:p>
      <w:pPr>
        <w:pStyle w:val="ListBullet"/>
        <w:spacing w:after="20"/>
      </w:pPr>
      <w:r>
        <w:rPr>
          <w:b w:val="0"/>
          <w:sz w:val="17"/>
        </w:rPr>
        <w:t>Paediatric retina surgery, including management of complex paediatric vitreoretinal pathology</w:t>
      </w:r>
    </w:p>
    <w:p>
      <w:pPr>
        <w:pStyle w:val="ListBullet"/>
        <w:spacing w:after="20"/>
      </w:pPr>
      <w:r>
        <w:rPr>
          <w:b w:val="0"/>
          <w:sz w:val="17"/>
        </w:rPr>
        <w:t>Retinopathy of prematurity — screening, treatment, laser photocoagulation and cryotherapy in newborns, including Zone-I and aggressive posterior ROP (APROP)</w:t>
      </w:r>
    </w:p>
    <w:p>
      <w:pPr>
        <w:pStyle w:val="Heading2"/>
        <w:spacing w:after="40"/>
      </w:pPr>
      <w:r>
        <w:rPr>
          <w:sz w:val="20"/>
        </w:rPr>
        <w:t>PROFESSIONAL EXPERIENCE</w:t>
      </w:r>
    </w:p>
    <w:p>
      <w:pPr>
        <w:spacing w:after="20"/>
      </w:pPr>
      <w:r>
        <w:rPr>
          <w:b/>
          <w:sz w:val="18"/>
        </w:rPr>
        <w:t>Narayana Nethralaya — Vitreoretinal Surgeon</w:t>
      </w:r>
      <w:r>
        <w:rPr>
          <w:sz w:val="16"/>
        </w:rPr>
        <w:t xml:space="preserve">  (Nov 2006 – Present)</w:t>
      </w:r>
      <w:r>
        <w:rPr>
          <w:sz w:val="17"/>
        </w:rPr>
        <w:br/>
        <w:t>Head of VR services (NN2). Complex retinal detachments, ROP screening/treatment, advanced imaging. Training fellows.</w:t>
      </w:r>
    </w:p>
    <w:p>
      <w:pPr>
        <w:spacing w:after="20"/>
      </w:pPr>
      <w:r>
        <w:rPr>
          <w:b/>
          <w:sz w:val="18"/>
        </w:rPr>
        <w:t>Lion's Eye Hospital — Consultant VR Surgeon</w:t>
      </w:r>
      <w:r>
        <w:rPr>
          <w:sz w:val="16"/>
        </w:rPr>
        <w:t xml:space="preserve">  (Dec 2003 – Nov 2006)</w:t>
      </w:r>
      <w:r>
        <w:rPr>
          <w:sz w:val="17"/>
        </w:rPr>
        <w:br/>
        <w:t>Retinal detachment surgeries, vitrectomies, medical retina with lasers.</w:t>
      </w:r>
    </w:p>
    <w:p>
      <w:pPr>
        <w:spacing w:after="20"/>
      </w:pPr>
      <w:r>
        <w:rPr>
          <w:b/>
          <w:sz w:val="18"/>
        </w:rPr>
        <w:t>Prathima Institute — Assistant Professor</w:t>
      </w:r>
      <w:r>
        <w:rPr>
          <w:sz w:val="16"/>
        </w:rPr>
        <w:t xml:space="preserve">  (Feb 2002 – Present)</w:t>
      </w:r>
      <w:r>
        <w:rPr>
          <w:sz w:val="17"/>
        </w:rPr>
        <w:br/>
        <w:t>Teaching and clinical duties in tertiary care (MCI recognized).</w:t>
      </w:r>
    </w:p>
    <w:p>
      <w:pPr>
        <w:pStyle w:val="Heading2"/>
        <w:spacing w:after="40"/>
      </w:pPr>
      <w:r>
        <w:rPr>
          <w:sz w:val="20"/>
        </w:rPr>
        <w:t>EDUCATION &amp; CREDENTIALS</w:t>
      </w:r>
    </w:p>
    <w:p>
      <w:pPr>
        <w:pStyle w:val="ListBullet"/>
        <w:spacing w:after="20"/>
      </w:pPr>
      <w:r>
        <w:rPr>
          <w:b w:val="0"/>
          <w:sz w:val="17"/>
        </w:rPr>
        <w:t>MS Ophthalmology — Gold Medal (Rajiv Gandhi Univ. of Health Sciences, 1999)</w:t>
      </w:r>
    </w:p>
    <w:p>
      <w:pPr>
        <w:pStyle w:val="ListBullet"/>
        <w:spacing w:after="20"/>
      </w:pPr>
      <w:r>
        <w:rPr>
          <w:b w:val="0"/>
          <w:sz w:val="17"/>
        </w:rPr>
        <w:t>Fellowship in Retina &amp; Vitreous — Retina Foundation, Ahmedabad • International Council of Ophthalmology, Edinburgh</w:t>
      </w:r>
    </w:p>
    <w:p>
      <w:pPr>
        <w:pStyle w:val="ListBullet"/>
        <w:spacing w:after="20"/>
      </w:pPr>
      <w:r>
        <w:rPr>
          <w:b w:val="0"/>
          <w:sz w:val="17"/>
        </w:rPr>
        <w:t>Medical Council: KMC 37,292 • DNB/NBE examiner • NABH Internal Auditor</w:t>
      </w:r>
    </w:p>
    <w:p>
      <w:pPr>
        <w:pStyle w:val="ListBullet"/>
        <w:spacing w:after="20"/>
      </w:pPr>
      <w:r>
        <w:rPr>
          <w:b w:val="0"/>
          <w:sz w:val="17"/>
        </w:rPr>
        <w:t>Languages: English, Hindi, Konkani, Kannada, Telugu, Tamil</w:t>
      </w:r>
    </w:p>
    <w:p>
      <w:pPr>
        <w:pStyle w:val="Heading2"/>
        <w:spacing w:after="20"/>
      </w:pPr>
      <w:r>
        <w:rPr>
          <w:sz w:val="20"/>
        </w:rPr>
        <w:t>PUBLICATIONS &amp; RESEARCH</w:t>
      </w:r>
    </w:p>
    <w:p>
      <w:pPr>
        <w:spacing w:after="40"/>
      </w:pPr>
      <w:r>
        <w:rPr>
          <w:b w:val="0"/>
          <w:sz w:val="17"/>
        </w:rPr>
        <w:t>15+ peer-reviewed publications (IOVS, Ophthalmology, AJO, RETINA, Graefe's). ROP, OCTA, genetic counseling, tele-ophthalmology.</w:t>
      </w:r>
    </w:p>
    <w:p>
      <w:pPr>
        <w:spacing w:after="60"/>
      </w:pPr>
      <w:hyperlink r:id="rId10">
        <w:r>
          <w:rPr>
            <w:rStyle w:val="Hyperlink"/>
            <w:color w:val="0563C1"/>
            <w:u w:val="single"/>
          </w:rPr>
          <w:t xml:space="preserve">View all peer-reviewed publications</w:t>
        </w:r>
      </w:hyperlink>
    </w:p>
    <w:p>
      <w:pPr>
        <w:pStyle w:val="Heading2"/>
        <w:spacing w:after="20"/>
      </w:pPr>
      <w:r>
        <w:rPr>
          <w:sz w:val="20"/>
        </w:rPr>
        <w:t>CONFERENCE PRESENTATIONS (Selected)</w:t>
      </w:r>
    </w:p>
    <w:p>
      <w:pPr>
        <w:pStyle w:val="ListBullet"/>
        <w:spacing w:after="20"/>
      </w:pPr>
      <w:r>
        <w:rPr>
          <w:b w:val="0"/>
          <w:sz w:val="17"/>
        </w:rPr>
        <w:t>AAO Chicago (2010): ROP safety net in India</w:t>
      </w:r>
    </w:p>
    <w:p>
      <w:pPr>
        <w:pStyle w:val="ListBullet"/>
        <w:spacing w:after="20"/>
      </w:pPr>
      <w:r>
        <w:rPr>
          <w:b w:val="0"/>
          <w:sz w:val="17"/>
        </w:rPr>
        <w:t>WOC Berlin (2010): Tele-ROP: India Experience</w:t>
      </w:r>
    </w:p>
    <w:p>
      <w:pPr>
        <w:pStyle w:val="ListBullet"/>
        <w:spacing w:after="20"/>
      </w:pPr>
      <w:r>
        <w:rPr>
          <w:b w:val="0"/>
          <w:sz w:val="17"/>
        </w:rPr>
        <w:t>APAO (2021): OCTA changes in RVO</w:t>
      </w:r>
    </w:p>
    <w:p>
      <w:pPr>
        <w:pStyle w:val="ListBullet"/>
        <w:spacing w:after="20"/>
      </w:pPr>
      <w:r>
        <w:rPr>
          <w:b w:val="0"/>
          <w:sz w:val="17"/>
        </w:rPr>
        <w:t>AIOS New Delhi (2025): Hodgkin's lymphoma causing CRAO</w:t>
      </w:r>
    </w:p>
    <w:p>
      <w:pPr>
        <w:pStyle w:val="ListBullet"/>
        <w:spacing w:after="20"/>
      </w:pPr>
      <w:r>
        <w:rPr>
          <w:b w:val="0"/>
          <w:sz w:val="17"/>
        </w:rPr>
        <w:t>Retina Summit Goa (2024): Speaker</w:t>
      </w:r>
    </w:p>
    <w:p>
      <w:pPr>
        <w:pStyle w:val="ListBullet"/>
        <w:spacing w:after="20"/>
      </w:pPr>
      <w:r>
        <w:rPr>
          <w:b w:val="0"/>
          <w:sz w:val="17"/>
        </w:rPr>
        <w:t>AIOS Jaipur (2026): Instructor — SSTC/DSTC courses</w:t>
      </w:r>
    </w:p>
    <w:p>
      <w:pPr>
        <w:pStyle w:val="ListBullet"/>
        <w:spacing w:after="20"/>
      </w:pPr>
      <w:r>
        <w:rPr>
          <w:b w:val="0"/>
          <w:sz w:val="17"/>
        </w:rPr>
        <w:t>AIOC Ahmedabad (March 2027): “The fluid that was not meant to be”</w:t>
      </w:r>
    </w:p>
    <w:p>
      <w:pPr>
        <w:pStyle w:val="ListBullet"/>
        <w:spacing w:after="20"/>
      </w:pPr>
      <w:r>
        <w:rPr>
          <w:b w:val="0"/>
          <w:sz w:val="17"/>
        </w:rPr>
        <w:t>“Multiple peripapillary membranes in Vogt-Koyanagi-Harada syndrome”</w:t>
      </w:r>
    </w:p>
    <w:p>
      <w:pPr>
        <w:pStyle w:val="ListBullet"/>
        <w:spacing w:after="20"/>
      </w:pPr>
      <w:r>
        <w:rPr>
          <w:b w:val="0"/>
          <w:sz w:val="17"/>
        </w:rPr>
        <w:t>“Foveal herniation in a child presenting with high myopia and nystagmus”</w:t>
      </w:r>
    </w:p>
    <w:p>
      <w:pPr>
        <w:spacing w:after="80"/>
      </w:pPr>
      <w:hyperlink r:id="rId11">
        <w:r>
          <w:rPr>
            <w:rStyle w:val="Hyperlink"/>
            <w:color w:val="0563C1"/>
            <w:u w:val="single"/>
          </w:rPr>
          <w:t xml:space="preserve">View all 120+ conference presentations</w:t>
        </w:r>
      </w:hyperlink>
    </w:p>
    <w:p/>
    <w:p>
      <w:pPr>
        <w:pStyle w:val="Heading2"/>
        <w:spacing w:after="40"/>
      </w:pPr>
      <w:r>
        <w:rPr>
          <w:sz w:val="20"/>
        </w:rPr>
        <w:t>LEADERSHIP &amp; SERVICE</w:t>
      </w:r>
    </w:p>
    <w:p>
      <w:pPr>
        <w:pStyle w:val="Heading3"/>
      </w:pPr>
      <w:r>
        <w:t>Hospital Infection Control &amp; NABH</w:t>
      </w:r>
    </w:p>
    <w:p>
      <w:pPr>
        <w:pStyle w:val="ListBullet"/>
        <w:spacing w:after="10"/>
      </w:pPr>
      <w:r>
        <w:rPr>
          <w:b w:val="0"/>
          <w:sz w:val="17"/>
        </w:rPr>
        <w:t>NABH internal auditor; inter-departmental audits</w:t>
      </w:r>
    </w:p>
    <w:p>
      <w:pPr>
        <w:pStyle w:val="ListBullet"/>
        <w:spacing w:after="10"/>
      </w:pPr>
      <w:r>
        <w:rPr>
          <w:b w:val="0"/>
          <w:sz w:val="17"/>
        </w:rPr>
        <w:t>Secretary, Hospital Infection Control (HIC) committee</w:t>
      </w:r>
    </w:p>
    <w:p>
      <w:pPr>
        <w:pStyle w:val="ListBullet"/>
        <w:spacing w:after="10"/>
      </w:pPr>
      <w:r>
        <w:rPr>
          <w:b w:val="0"/>
          <w:sz w:val="17"/>
        </w:rPr>
        <w:t>Retina department clinical audits and KPI reporting</w:t>
      </w:r>
    </w:p>
    <w:p>
      <w:pPr>
        <w:pStyle w:val="ListBullet"/>
        <w:spacing w:after="10"/>
      </w:pPr>
      <w:r>
        <w:rPr>
          <w:b w:val="0"/>
          <w:sz w:val="17"/>
        </w:rPr>
        <w:t>HIC manual aligned to NABH 5th edition standards</w:t>
      </w:r>
    </w:p>
    <w:p>
      <w:pPr>
        <w:pStyle w:val="Heading3"/>
      </w:pPr>
      <w:r>
        <w:t>Teaching &amp; Examining</w:t>
      </w:r>
    </w:p>
    <w:p>
      <w:pPr>
        <w:pStyle w:val="ListBullet"/>
        <w:spacing w:after="10"/>
      </w:pPr>
      <w:r>
        <w:rPr>
          <w:b w:val="0"/>
          <w:sz w:val="17"/>
        </w:rPr>
        <w:t>DNB/NBE examiner and assessor</w:t>
      </w:r>
    </w:p>
    <w:p>
      <w:pPr>
        <w:pStyle w:val="ListBullet"/>
        <w:spacing w:after="10"/>
      </w:pPr>
      <w:r>
        <w:rPr>
          <w:b w:val="0"/>
          <w:sz w:val="17"/>
        </w:rPr>
        <w:t>Fellow mentoring in VR surgery</w:t>
      </w:r>
    </w:p>
    <w:p>
      <w:pPr>
        <w:pStyle w:val="ListBullet"/>
        <w:spacing w:after="10"/>
      </w:pPr>
      <w:r>
        <w:rPr>
          <w:b w:val="0"/>
          <w:sz w:val="17"/>
        </w:rPr>
        <w:t>Instruction courses: DME, ROP, laser/indirect ophthalmoscopy</w:t>
      </w:r>
    </w:p>
    <w:p>
      <w:pPr>
        <w:pStyle w:val="ListBullet"/>
        <w:spacing w:after="10"/>
      </w:pPr>
      <w:r>
        <w:rPr>
          <w:b w:val="0"/>
          <w:sz w:val="17"/>
        </w:rPr>
        <w:t>Registered for AI in Medical Education (NBE, Jan 2026)</w:t>
      </w:r>
    </w:p>
    <w:p>
      <w:pPr>
        <w:pStyle w:val="Heading2"/>
        <w:spacing w:after="20"/>
      </w:pPr>
      <w:r>
        <w:rPr>
          <w:sz w:val="20"/>
        </w:rPr>
        <w:t>AWARDS &amp; RECOGNITION</w:t>
      </w:r>
    </w:p>
    <w:p>
      <w:pPr>
        <w:pStyle w:val="ListBullet"/>
        <w:spacing w:after="10"/>
      </w:pPr>
      <w:r>
        <w:rPr>
          <w:b/>
          <w:sz w:val="18"/>
        </w:rPr>
        <w:t>Academic Awards</w:t>
      </w:r>
    </w:p>
    <w:p>
      <w:pPr>
        <w:spacing w:after="10"/>
      </w:pPr>
      <w:r>
        <w:rPr>
          <w:b w:val="0"/>
          <w:sz w:val="17"/>
        </w:rPr>
        <w:t>Gold Medal in MS Ophthalmology (Rajiv Gandhi Univ., 1999)</w:t>
      </w:r>
    </w:p>
    <w:p>
      <w:pPr>
        <w:spacing w:after="10"/>
      </w:pPr>
      <w:r>
        <w:rPr>
          <w:b w:val="0"/>
          <w:sz w:val="17"/>
        </w:rPr>
        <w:t>Best PG Paper Award (KOS, 1998)</w:t>
      </w:r>
    </w:p>
    <w:p>
      <w:pPr>
        <w:spacing w:after="10"/>
      </w:pPr>
      <w:r>
        <w:rPr>
          <w:b w:val="0"/>
          <w:sz w:val="17"/>
        </w:rPr>
        <w:t>H.J. Mehta Award — best research work</w:t>
      </w:r>
    </w:p>
    <w:p>
      <w:pPr>
        <w:pStyle w:val="ListBullet"/>
        <w:spacing w:after="10"/>
      </w:pPr>
      <w:r>
        <w:rPr>
          <w:b/>
          <w:sz w:val="18"/>
        </w:rPr>
        <w:t>Professional Awards</w:t>
      </w:r>
    </w:p>
    <w:p>
      <w:pPr>
        <w:spacing w:after="10"/>
      </w:pPr>
      <w:r>
        <w:rPr>
          <w:b w:val="0"/>
          <w:sz w:val="17"/>
        </w:rPr>
        <w:t>Best Pediatric Ophthalmology paper — APROP study</w:t>
      </w:r>
    </w:p>
    <w:p>
      <w:pPr>
        <w:spacing w:after="10"/>
      </w:pPr>
      <w:r>
        <w:rPr>
          <w:b w:val="0"/>
          <w:sz w:val="17"/>
        </w:rPr>
        <w:t>Innovative healthcare through PPP (KIDROP, 2012)</w:t>
      </w:r>
    </w:p>
    <w:p>
      <w:pPr>
        <w:spacing w:after="10"/>
      </w:pPr>
      <w:r>
        <w:rPr>
          <w:b w:val="0"/>
          <w:sz w:val="17"/>
        </w:rPr>
        <w:t>Best poster — KOS 2018 (Terson syndrome)</w:t>
      </w:r>
    </w:p>
    <w:p>
      <w:pPr>
        <w:spacing w:after="10"/>
      </w:pPr>
      <w:r>
        <w:rPr>
          <w:b w:val="0"/>
          <w:sz w:val="17"/>
        </w:rPr>
        <w:t>Best ROP paper — BOS 2022</w:t>
      </w:r>
    </w:p>
    <w:p>
      <w:pPr>
        <w:spacing w:after="60"/>
      </w:pPr>
      <w:hyperlink r:id="rId12">
        <w:r>
          <w:rPr>
            <w:rStyle w:val="Hyperlink"/>
            <w:color w:val="0563C1"/>
            <w:u w:val="single"/>
          </w:rPr>
          <w:t xml:space="preserve">View all 11 awards &amp; recognition</w:t>
        </w:r>
      </w:hyperlink>
    </w:p>
    <w:p>
      <w:pPr>
        <w:pStyle w:val="Heading2"/>
        <w:spacing w:after="20"/>
      </w:pPr>
      <w:r>
        <w:rPr>
          <w:sz w:val="20"/>
        </w:rPr>
        <w:t>THESIS SUPERVISION (Selected)</w:t>
      </w:r>
    </w:p>
    <w:p>
      <w:pPr>
        <w:pStyle w:val="ListBullet"/>
        <w:spacing w:after="10"/>
      </w:pPr>
      <w:r>
        <w:rPr>
          <w:b w:val="0"/>
          <w:sz w:val="17"/>
        </w:rPr>
        <w:t>ROP spectrum and treatment — DNB (2011)</w:t>
      </w:r>
    </w:p>
    <w:p>
      <w:pPr>
        <w:pStyle w:val="ListBullet"/>
        <w:spacing w:after="10"/>
      </w:pPr>
      <w:r>
        <w:rPr>
          <w:b w:val="0"/>
          <w:sz w:val="17"/>
        </w:rPr>
        <w:t>Dexamethasone implant effect on macular perfusion (OCTA) in RVO — DNB (2021)</w:t>
      </w:r>
    </w:p>
    <w:p>
      <w:pPr>
        <w:pStyle w:val="ListBullet"/>
        <w:spacing w:after="10"/>
      </w:pPr>
      <w:r>
        <w:rPr>
          <w:b w:val="0"/>
          <w:sz w:val="17"/>
        </w:rPr>
        <w:t>Retinal microvasculature abnormalities in CKD on dialysis — DNB (2021)</w:t>
      </w:r>
    </w:p>
    <w:p>
      <w:pPr>
        <w:pStyle w:val="ListBullet"/>
        <w:spacing w:after="10"/>
      </w:pPr>
      <w:r>
        <w:rPr>
          <w:b w:val="0"/>
          <w:sz w:val="17"/>
        </w:rPr>
        <w:t>ROP trends: rural vs. urban in Karnataka — DNB (2021)</w:t>
      </w:r>
    </w:p>
    <w:p>
      <w:pPr>
        <w:pStyle w:val="ListBullet"/>
        <w:spacing w:after="10"/>
      </w:pPr>
      <w:r>
        <w:rPr>
          <w:b w:val="0"/>
          <w:sz w:val="17"/>
        </w:rPr>
        <w:t>OCTA changes in sleep apnea syndrome — DNB (2025)</w:t>
      </w:r>
    </w:p>
    <w:p>
      <w:pPr>
        <w:spacing w:after="60"/>
      </w:pPr>
      <w:hyperlink r:id="rId13">
        <w:r>
          <w:rPr>
            <w:rStyle w:val="Hyperlink"/>
            <w:color w:val="0563C1"/>
            <w:u w:val="single"/>
          </w:rPr>
          <w:t xml:space="preserve">View all 18 theses supervised</w:t>
        </w:r>
      </w:hyperlink>
    </w:p>
    <w:p>
      <w:pPr>
        <w:pStyle w:val="Heading2"/>
        <w:spacing w:after="20"/>
      </w:pPr>
      <w:r>
        <w:rPr>
          <w:sz w:val="20"/>
        </w:rPr>
        <w:t>INSTRUCTION COURSES</w:t>
      </w:r>
    </w:p>
    <w:p>
      <w:pPr>
        <w:pStyle w:val="ListBullet"/>
        <w:spacing w:after="10"/>
      </w:pPr>
      <w:r>
        <w:rPr>
          <w:b w:val="0"/>
          <w:sz w:val="17"/>
        </w:rPr>
        <w:t>Management of diabetic macular edema — Co-instructor</w:t>
      </w:r>
    </w:p>
    <w:p>
      <w:pPr>
        <w:pStyle w:val="ListBullet"/>
        <w:spacing w:after="10"/>
      </w:pPr>
      <w:r>
        <w:rPr>
          <w:b w:val="0"/>
          <w:sz w:val="17"/>
        </w:rPr>
        <w:t>ROP: Update for general ophthalmologist — Co-instructor</w:t>
      </w:r>
    </w:p>
    <w:p>
      <w:pPr>
        <w:pStyle w:val="ListBullet"/>
        <w:spacing w:after="10"/>
      </w:pPr>
      <w:r>
        <w:rPr>
          <w:b w:val="0"/>
          <w:sz w:val="17"/>
        </w:rPr>
        <w:t>Hands-on indirect ophthalmoscopy and retinal lasers — TRUE-D (2014)</w:t>
      </w:r>
    </w:p>
    <w:p>
      <w:pPr>
        <w:pStyle w:val="ListBullet"/>
        <w:spacing w:after="10"/>
      </w:pPr>
      <w:r>
        <w:rPr>
          <w:b w:val="0"/>
          <w:sz w:val="17"/>
        </w:rPr>
        <w:t>ROP instruction course — KOS (2010)</w:t>
      </w:r>
    </w:p>
    <w:p>
      <w:pPr>
        <w:pStyle w:val="ListBullet"/>
        <w:spacing w:after="10"/>
      </w:pPr>
      <w:r>
        <w:rPr>
          <w:b w:val="0"/>
          <w:sz w:val="17"/>
        </w:rPr>
        <w:t>Anti-VEGF's in DME — KOS (2010)</w:t>
      </w:r>
    </w:p>
    <w:p>
      <w:pPr>
        <w:pStyle w:val="ListBullet"/>
        <w:spacing w:after="10"/>
      </w:pPr>
      <w:r>
        <w:rPr>
          <w:b w:val="0"/>
          <w:sz w:val="17"/>
        </w:rPr>
        <w:t>PG update courses (2018–2019)</w:t>
      </w:r>
    </w:p>
    <w:p>
      <w:pPr>
        <w:spacing w:after="80"/>
      </w:pPr>
      <w:hyperlink r:id="rId14">
        <w:r>
          <w:rPr>
            <w:rStyle w:val="Hyperlink"/>
            <w:color w:val="0563C1"/>
            <w:u w:val="single"/>
          </w:rPr>
          <w:t xml:space="preserve">View full instruction courses &amp; workshops</w:t>
        </w:r>
      </w:hyperlink>
    </w:p>
    <w:p>
      <w:pPr>
        <w:spacing w:after="40" w:before="120"/>
        <w:jc w:val="center"/>
      </w:pPr>
      <w:r>
        <w:rPr>
          <w:sz w:val="16"/>
        </w:rPr>
        <w:t xml:space="preserve">For comprehensive details: </w:t>
      </w:r>
      <w:hyperlink r:id="rId9">
        <w:r>
          <w:rPr>
            <w:rStyle w:val="Hyperlink"/>
            <w:color w:val="0563C1"/>
            <w:u w:val="single"/>
          </w:rPr>
          <w:t xml:space="preserve">Full Online Resume</w:t>
        </w:r>
      </w:hyperlink>
    </w:p>
    <w:p>
      <w:pPr>
        <w:spacing w:after="0"/>
        <w:jc w:val="center"/>
      </w:pPr>
      <w:r>
        <w:rPr>
          <w:b w:val="0"/>
          <w:sz w:val="16"/>
        </w:rPr>
        <w:t>drsherine@gmail.com | +91 98453 66008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ustomercaresolutions.github.io/dr-sherine/versions/current/" TargetMode="External"/><Relationship Id="rId10" Type="http://schemas.openxmlformats.org/officeDocument/2006/relationships/hyperlink" Target="https://customercaresolutions.github.io/dr-sherine/versions/current/publications.html" TargetMode="External"/><Relationship Id="rId11" Type="http://schemas.openxmlformats.org/officeDocument/2006/relationships/hyperlink" Target="https://customercaresolutions.github.io/dr-sherine/versions/current/presentations.html" TargetMode="External"/><Relationship Id="rId12" Type="http://schemas.openxmlformats.org/officeDocument/2006/relationships/hyperlink" Target="https://customercaresolutions.github.io/dr-sherine/versions/current/awards.html" TargetMode="External"/><Relationship Id="rId13" Type="http://schemas.openxmlformats.org/officeDocument/2006/relationships/hyperlink" Target="https://customercaresolutions.github.io/dr-sherine/versions/current/theses.html" TargetMode="External"/><Relationship Id="rId14" Type="http://schemas.openxmlformats.org/officeDocument/2006/relationships/hyperlink" Target="https://customercaresolutions.github.io/dr-sherine/versions/current/cours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