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DR. SHERINE MARINA D'SOUZA BRAGANZA</w:t>
      </w:r>
    </w:p>
    <w:p>
      <w:r>
        <w:t>Vitreoretinal Surgeon | Inherited Retinal Disorders | Ocular Gene Therapy Readiness | Medical Retina</w:t>
      </w:r>
    </w:p>
    <w:p>
      <w:r>
        <w:t>drsherine@gmail.com | +91 98453 66008 | MS Ophthalmology (Gold Medal) | Bangalore, India</w:t>
      </w:r>
    </w:p>
    <w:p>
      <w:hyperlink r:id="rId9">
        <w:r>
          <w:rPr>
            <w:rStyle w:val="Hyperlink"/>
            <w:color w:val="0563C1"/>
            <w:u w:val="single"/>
            <w:b/>
          </w:rPr>
          <w:t xml:space="preserve">Full Online Resume (Spark Therapeutics version)</w:t>
        </w:r>
      </w:hyperlink>
    </w:p>
    <w:p>
      <w:pPr>
        <w:pStyle w:val="Heading2"/>
      </w:pPr>
      <w:r>
        <w:t>PROFESSIONAL SUMMARY</w:t>
      </w:r>
    </w:p>
    <w:p>
      <w:r>
        <w:t>Senior vitreoretinal surgeon and clinical strategist with 25+ years across medical retina, inherited retinal disorders (IRDs), ROP, and tertiary retinal care. Published on genotype–phenotype correlation in IRDs and on next-generation sequencing / genetic counseling in ocular disorders. Helped scale a tele-retina screening network across 50+ centers with 10,000+ patient records — the same infrastructure used to identify, refer, and follow patients eligible for advanced retinal therapies. Active physician-educator (16+ supervised DNB theses, 120+ conference talks, DNB / NBE examiner) with a deep imaging-interpretation footprint (OCT, OCTA, FAF, FA/ICG, B-scan). The bridge between cutting-edge retinal science and everyday ophthalmic practice.</w:t>
      </w:r>
    </w:p>
    <w:p>
      <w:pPr>
        <w:pStyle w:val="Heading2"/>
      </w:pPr>
      <w:r>
        <w:t>CORE EXPERTISE</w:t>
      </w:r>
    </w:p>
    <w:p>
      <w:pPr>
        <w:pStyle w:val="ListBullet"/>
      </w:pPr>
      <w:r>
        <w:t>Inherited Retinal Disorders (IRDs) • Genotype–Phenotype Correlation • Genetic Counseling</w:t>
      </w:r>
    </w:p>
    <w:p>
      <w:pPr>
        <w:pStyle w:val="ListBullet"/>
      </w:pPr>
      <w:r>
        <w:t>Retinal Imaging Interpretation • OCT / SD-OCT / SS-OCT • OCT-Angiography • FAF • FA/ICG • B-scan</w:t>
      </w:r>
    </w:p>
    <w:p>
      <w:pPr>
        <w:pStyle w:val="ListBullet"/>
      </w:pPr>
      <w:r>
        <w:t>Patient Identification Pathways • Referral Workflows • Disease Progression Monitoring</w:t>
      </w:r>
    </w:p>
    <w:p>
      <w:pPr>
        <w:pStyle w:val="ListBullet"/>
      </w:pPr>
      <w:r>
        <w:t>Treatment-Center Engagement • Multi-Center Network Activation • Tele-Retina Operations</w:t>
      </w:r>
    </w:p>
    <w:p>
      <w:pPr>
        <w:pStyle w:val="ListBullet"/>
      </w:pPr>
      <w:r>
        <w:t>Medical &amp; Surgical Retina • ROP &amp; Pediatric Retina • DR, RVO, AMD, Macular Edema</w:t>
      </w:r>
    </w:p>
    <w:p>
      <w:pPr>
        <w:pStyle w:val="ListBullet"/>
      </w:pPr>
      <w:r>
        <w:t>KOL Engagement • Clinical Advisory • Physician Education (DNB / NBE examiner)</w:t>
      </w:r>
    </w:p>
    <w:p>
      <w:pPr>
        <w:pStyle w:val="Heading2"/>
      </w:pPr>
      <w:r>
        <w:t>ALIGNMENT WITH SPARK THERAPEUTICS</w:t>
      </w:r>
    </w:p>
    <w:p>
      <w:r>
        <w:t>Spark Therapeutics sits at the intersection of retinal disease, ocular gene therapy, inherited retinal disorders, physician education, and real-world clinical implementation. The role calls for senior retina specialists who understand patient identification pathways, retinal imaging interpretation, disease progression, referral workflows, treatment-center engagement, and how advanced therapies translate into actual ophthalmic practice. 25+ years in medical retina, ROP, tertiary retinal care, multidisciplinary teaching, and IRD/genetic-counseling research map directly onto those needs.</w:t>
      </w:r>
    </w:p>
    <w:p>
      <w:pPr>
        <w:pStyle w:val="Heading2"/>
      </w:pPr>
      <w:r>
        <w:t>PROFESSIONAL EXPERIENCE</w:t>
      </w:r>
    </w:p>
    <w:p>
      <w:r>
        <w:t>Narayana Nethralaya II — Senior Consultant &amp; Head, Vitreoretinal Services  (Nov 2006 – Present)</w:t>
        <w:br/>
        <w:t>Tertiary medical and surgical retina in a high-volume superspeciality eye hospital. Workup and longitudinal management of inherited retinal disorders, retinal vascular and degenerative disease, ROP, and complex vitreoretinal pathology. Head of VR Services at the NN2 (Health City) branch. Lead point for international patients in retinal care. Active in the IRD and genetic-counseling clinical pathway alongside geneticists and paediatricians. Training fellows and DNB postgraduates.</w:t>
      </w:r>
    </w:p>
    <w:p>
      <w:r>
        <w:t>KIDROP Initiative — Senior Clinical Lead  (2008 – Present)</w:t>
        <w:br/>
        <w:t>Helped scale a tele-retinal screening network across 50+ primary and secondary centers, with cumulative coverage of 10,000+ patient records. Designed clinical workflows, referral pathways, imaging protocols, and treatment escalation criteria — the same operational building blocks that underpin a gene-therapy treatment-center network.</w:t>
      </w:r>
    </w:p>
    <w:p>
      <w:r>
        <w:t>Lion's Eye Hospital — Consultant VR Surgeon  (Dec 2003 – Nov 2006)</w:t>
        <w:br/>
        <w:t>Retinal detachment surgeries, vitrectomy (including 23g), cryopexy, medical retina and lasers, fluorescein/ICG angiography, B-scan ultrasonography, and OCT.</w:t>
      </w:r>
    </w:p>
    <w:p>
      <w:r>
        <w:t>Prathima Institute of Medical Sciences — Assistant Professor  (Feb 2002 – Present)</w:t>
        <w:br/>
        <w:t>Undergraduate and postgraduate teaching within a tertiary care teaching hospital (MCI recognized); supervision of research projects and theses.</w:t>
      </w:r>
    </w:p>
    <w:p>
      <w:hyperlink r:id="rId10">
        <w:r>
          <w:rPr>
            <w:rStyle w:val="Hyperlink"/>
            <w:color w:val="0563C1"/>
            <w:u w:val="single"/>
          </w:rPr>
          <w:t xml:space="preserve">View full professional experience</w:t>
        </w:r>
      </w:hyperlink>
    </w:p>
    <w:p>
      <w:pPr>
        <w:pStyle w:val="Heading2"/>
      </w:pPr>
      <w:r>
        <w:t>EDUCATION &amp; CREDENTIALS</w:t>
      </w:r>
    </w:p>
    <w:p>
      <w:pPr>
        <w:pStyle w:val="ListBullet"/>
      </w:pPr>
      <w:r>
        <w:t>MS Ophthalmology — Gold Medal (Rajiv Gandhi Univ. of Health Sciences, 1999)</w:t>
      </w:r>
    </w:p>
    <w:p>
      <w:pPr>
        <w:pStyle w:val="ListBullet"/>
      </w:pPr>
      <w:r>
        <w:t>MBBS — Bangalore Medical College</w:t>
      </w:r>
    </w:p>
    <w:p>
      <w:pPr>
        <w:pStyle w:val="ListBullet"/>
      </w:pPr>
      <w:r>
        <w:t>Medical Council: KMC 37,292 • DNB / NBE examiner • NABH Internal Auditor</w:t>
      </w:r>
    </w:p>
    <w:p>
      <w:pPr>
        <w:pStyle w:val="ListBullet"/>
      </w:pPr>
      <w:r>
        <w:t>25,000+ clinical retinal cases: IRDs, ROP, DR, RVO, AMD, macular edema</w:t>
      </w:r>
    </w:p>
    <w:p>
      <w:pPr>
        <w:pStyle w:val="ListBullet"/>
      </w:pPr>
      <w:r>
        <w:t>Languages: English, Hindi, Konkani, Kannada, Telugu, Tamil</w:t>
      </w:r>
    </w:p>
    <w:p>
      <w:pPr>
        <w:pStyle w:val="Heading2"/>
      </w:pPr>
      <w:r>
        <w:t>PUBLICATIONS — IRD &amp; GENETICS LED</w:t>
      </w:r>
    </w:p>
    <w:p>
      <w:pPr>
        <w:pStyle w:val="ListBullet"/>
      </w:pPr>
      <w:r>
        <w:t>Inherited retinal disorders — genotype–phenotype correlation in an Indian cohort and the importance of genetic testing and counseling. Graefe's Archive, January 2023.</w:t>
      </w:r>
    </w:p>
    <w:p>
      <w:pPr>
        <w:pStyle w:val="ListBullet"/>
      </w:pPr>
      <w:r>
        <w:t>Next generation sequencing and genetic counseling in ocular disorders — clinical, genetic, psychological and cultural dimensions. Indian Journal of Ophthalmology, 2026.</w:t>
      </w:r>
    </w:p>
    <w:p>
      <w:pPr>
        <w:pStyle w:val="ListBullet"/>
      </w:pPr>
      <w:r>
        <w:t>Tele-ophthalmology and preventable childhood blindness: KIDROP experience. 2022.</w:t>
      </w:r>
    </w:p>
    <w:p>
      <w:pPr>
        <w:pStyle w:val="ListBullet"/>
      </w:pPr>
      <w:r>
        <w:t>Clinically undetected macular changes in early ROP on SD-OCT. IOVS, 2011.</w:t>
      </w:r>
    </w:p>
    <w:p>
      <w:pPr>
        <w:pStyle w:val="ListBullet"/>
      </w:pPr>
      <w:r>
        <w:t>Influence of foveal photoreceptor sub-elements on visual acuity in premature infants. IOVS, 2012.</w:t>
      </w:r>
    </w:p>
    <w:p>
      <w:pPr>
        <w:pStyle w:val="ListBullet"/>
      </w:pPr>
      <w:r>
        <w:t>Outcomes of protocol-based management for Zone-I ROP. AJO, 2011.</w:t>
      </w:r>
    </w:p>
    <w:p>
      <w:pPr>
        <w:pStyle w:val="ListBullet"/>
      </w:pPr>
      <w:r>
        <w:t>Spectral-domain OCT — Limitations and advances. Opening chapter, Elsevier "Textbook and Atlas on OCT," 2013.</w:t>
      </w:r>
    </w:p>
    <w:p>
      <w:hyperlink r:id="rId11">
        <w:r>
          <w:rPr>
            <w:rStyle w:val="Hyperlink"/>
            <w:color w:val="0563C1"/>
            <w:u w:val="single"/>
          </w:rPr>
          <w:t xml:space="preserve">View all peer-reviewed publications</w:t>
        </w:r>
      </w:hyperlink>
    </w:p>
    <w:p>
      <w:pPr>
        <w:pStyle w:val="Heading2"/>
      </w:pPr>
      <w:r>
        <w:t>CONFERENCE PRESENTATIONS (Selected)</w:t>
      </w:r>
    </w:p>
    <w:p>
      <w:pPr>
        <w:pStyle w:val="ListBullet"/>
      </w:pPr>
      <w:r>
        <w:t>Speaker — Electrophysiology and Applied Clinical Genetics, Bangalore (Feb 2023)</w:t>
      </w:r>
    </w:p>
    <w:p>
      <w:pPr>
        <w:pStyle w:val="ListBullet"/>
      </w:pPr>
      <w:r>
        <w:t>Homozygosity by descent of a foveal hypoplasia gene in an inbred South Indian family — AIOS Delhi (2015)</w:t>
      </w:r>
    </w:p>
    <w:p>
      <w:pPr>
        <w:pStyle w:val="ListBullet"/>
      </w:pPr>
      <w:r>
        <w:t>Juvenile association of nephronophthisis with RP — AIOS Coimbatore (2017); APVRS Seoul (2018)</w:t>
      </w:r>
    </w:p>
    <w:p>
      <w:pPr>
        <w:pStyle w:val="ListBullet"/>
      </w:pPr>
      <w:r>
        <w:t>Effect of consanguinity on retinitis pigmentosa severity — Asia ARVO Singapore (2011)</w:t>
      </w:r>
    </w:p>
    <w:p>
      <w:pPr>
        <w:pStyle w:val="ListBullet"/>
      </w:pPr>
      <w:r>
        <w:t>BEST's vitelliform dystrophy with CNVM on SD-OCT — APAO Hyderabad (2013)</w:t>
      </w:r>
    </w:p>
    <w:p>
      <w:pPr>
        <w:pStyle w:val="ListBullet"/>
      </w:pPr>
      <w:r>
        <w:t>"Creating a safety net for ROP in India" — AAO Retina Subspecialty, Chicago (2010)</w:t>
      </w:r>
    </w:p>
    <w:p>
      <w:pPr>
        <w:pStyle w:val="ListBullet"/>
      </w:pPr>
      <w:r>
        <w:t>Speaker — Retina Summit, Goa (Feb 2024); Faculty — Retina Clinix International (2024–2025)</w:t>
      </w:r>
    </w:p>
    <w:p>
      <w:pPr>
        <w:pStyle w:val="ListBullet"/>
      </w:pPr>
      <w:r>
        <w:t>Instructor — SSTC / DSTC courses, AIOC New Delhi (2025); AIOC Jaipur (2026)</w:t>
      </w:r>
    </w:p>
    <w:p>
      <w:hyperlink r:id="rId12">
        <w:r>
          <w:rPr>
            <w:rStyle w:val="Hyperlink"/>
            <w:color w:val="0563C1"/>
            <w:u w:val="single"/>
          </w:rPr>
          <w:t xml:space="preserve">View all 120+ conference presentations</w:t>
        </w:r>
      </w:hyperlink>
    </w:p>
    <w:p>
      <w:pPr>
        <w:pStyle w:val="Heading2"/>
      </w:pPr>
      <w:r>
        <w:t>LEADERSHIP, EDUCATION &amp; NETWORK</w:t>
      </w:r>
    </w:p>
    <w:p>
      <w:pPr>
        <w:pStyle w:val="Heading3"/>
      </w:pPr>
      <w:r>
        <w:t>Patient Pathways &amp; Treatment Centers</w:t>
      </w:r>
    </w:p>
    <w:p>
      <w:pPr>
        <w:pStyle w:val="ListBullet"/>
      </w:pPr>
      <w:r>
        <w:t>Multi-center retinal screening across 50+ sites and 10,000+ patient records (KIDROP)</w:t>
      </w:r>
    </w:p>
    <w:p>
      <w:pPr>
        <w:pStyle w:val="ListBullet"/>
      </w:pPr>
      <w:r>
        <w:t>Referral workflow design, clinical protocols, treatment-center activation</w:t>
      </w:r>
    </w:p>
    <w:p>
      <w:pPr>
        <w:pStyle w:val="ListBullet"/>
      </w:pPr>
      <w:r>
        <w:t>Imaging-based patient identification and longitudinal monitoring (OCT, OCTA, FAF)</w:t>
      </w:r>
    </w:p>
    <w:p>
      <w:pPr>
        <w:pStyle w:val="Heading3"/>
      </w:pPr>
      <w:r>
        <w:t>Physician Education &amp; KOL</w:t>
      </w:r>
    </w:p>
    <w:p>
      <w:pPr>
        <w:pStyle w:val="ListBullet"/>
      </w:pPr>
      <w:r>
        <w:t>DNB / NBE examiner (clinical excellence standards in ophthalmology)</w:t>
      </w:r>
    </w:p>
    <w:p>
      <w:pPr>
        <w:pStyle w:val="ListBullet"/>
      </w:pPr>
      <w:r>
        <w:t>16+ supervised DNB theses concentrated in retinal imaging and retinal disease</w:t>
      </w:r>
    </w:p>
    <w:p>
      <w:pPr>
        <w:pStyle w:val="ListBullet"/>
      </w:pPr>
      <w:r>
        <w:t>120+ conference talks; faculty for AAO India Chapter, Retina Summit, Retina Clinix</w:t>
      </w:r>
    </w:p>
    <w:p>
      <w:pPr>
        <w:pStyle w:val="ListBullet"/>
      </w:pPr>
      <w:r>
        <w:t>Hospital Infection Control committee leadership; NABH-aligned clinical governance</w:t>
      </w:r>
    </w:p>
    <w:p>
      <w:pPr>
        <w:pStyle w:val="Heading2"/>
      </w:pPr>
      <w:r>
        <w:t>THESIS SUPERVISION (Selected)</w:t>
      </w:r>
    </w:p>
    <w:p>
      <w:pPr>
        <w:pStyle w:val="ListBullet"/>
      </w:pPr>
      <w:r>
        <w:t>Dexamethasone implant effect on macular perfusion (OCTA) in RVO — DNB (2021)</w:t>
      </w:r>
    </w:p>
    <w:p>
      <w:pPr>
        <w:pStyle w:val="ListBullet"/>
      </w:pPr>
      <w:r>
        <w:t>Retinal microvasculature in stage-5 CKD on dialysis using SS-OCTA — DNB (2021)</w:t>
      </w:r>
    </w:p>
    <w:p>
      <w:pPr>
        <w:pStyle w:val="ListBullet"/>
      </w:pPr>
      <w:r>
        <w:t>Longitudinal foveal morphology on SD-OCT in preterm infants with/without ROP — DNB (2012)</w:t>
      </w:r>
    </w:p>
    <w:p>
      <w:pPr>
        <w:pStyle w:val="ListBullet"/>
      </w:pPr>
      <w:r>
        <w:t>Retinal vessel diameter in OCTA in hypertensive retinopathy — DNB (2024)</w:t>
      </w:r>
    </w:p>
    <w:p>
      <w:pPr>
        <w:pStyle w:val="ListBullet"/>
      </w:pPr>
      <w:r>
        <w:t>OCTA changes in sleep apnea syndrome — DNB (2025)</w:t>
      </w:r>
    </w:p>
    <w:p>
      <w:hyperlink r:id="rId13">
        <w:r>
          <w:rPr>
            <w:rStyle w:val="Hyperlink"/>
            <w:color w:val="0563C1"/>
            <w:u w:val="single"/>
          </w:rPr>
          <w:t xml:space="preserve">View all 16+ theses supervised</w:t>
        </w:r>
      </w:hyperlink>
    </w:p>
    <w:p>
      <w:pPr>
        <w:pStyle w:val="Heading2"/>
      </w:pPr>
      <w:r>
        <w:t>AWARDS &amp; RECOGNITION</w:t>
      </w:r>
    </w:p>
    <w:p>
      <w:pPr>
        <w:pStyle w:val="ListBullet"/>
      </w:pPr>
      <w:r>
        <w:t>Gold Medal in MS Ophthalmology (Rajiv Gandhi Univ., 1999)</w:t>
      </w:r>
    </w:p>
    <w:p>
      <w:pPr>
        <w:pStyle w:val="ListBullet"/>
      </w:pPr>
      <w:r>
        <w:t>Innovative Healthcare through PPP — KIDROP (2012)</w:t>
      </w:r>
    </w:p>
    <w:p>
      <w:pPr>
        <w:pStyle w:val="ListBullet"/>
      </w:pPr>
      <w:r>
        <w:t>Best Pediatric Ophthalmology paper — APROP study</w:t>
      </w:r>
    </w:p>
    <w:p>
      <w:pPr>
        <w:pStyle w:val="ListBullet"/>
      </w:pPr>
      <w:r>
        <w:t>Best ROP paper — BOS (2022); H.J. Mehta Award (best undergraduate research)</w:t>
      </w:r>
    </w:p>
    <w:p>
      <w:pPr>
        <w:pStyle w:val="ListBullet"/>
      </w:pPr>
      <w:r>
        <w:t>11+ awards for research, innovation, and clinical excellence</w:t>
      </w:r>
    </w:p>
    <w:p>
      <w:r>
        <w:t xml:space="preserve">For comprehensive details: </w:t>
      </w:r>
      <w:hyperlink r:id="rId9">
        <w:r>
          <w:rPr>
            <w:rStyle w:val="Hyperlink"/>
            <w:color w:val="0563C1"/>
            <w:u w:val="single"/>
            <w:b/>
          </w:rPr>
          <w:t xml:space="preserve">Full Online Resume (Spark Therapeutics version)</w:t>
        </w:r>
      </w:hyperlink>
    </w:p>
    <w:p>
      <w:r>
        <w:t xml:space="preserve">drsherine@gmail.com | +91 98453 66008 | </w:t>
      </w:r>
      <w:hyperlink r:id="rId14">
        <w:r>
          <w:rPr>
            <w:rStyle w:val="Hyperlink"/>
            <w:color w:val="0563C1"/>
            <w:u w:val="single"/>
          </w:rPr>
          <w:t xml:space="preserve">Contact</w:t>
        </w:r>
      </w:hyperlink>
    </w:p>
    <w:sectPr w:rsidR="00FC693F" w:rsidRPr="0006063C" w:rsidSect="00034616">
      <w:pgSz w:w="12240" w:h="15840"/>
      <w:pgMar w:top="576"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ustomercaresolutions.github.io/dr-sherine/versions/spark-therapeutics/" TargetMode="External"/><Relationship Id="rId10" Type="http://schemas.openxmlformats.org/officeDocument/2006/relationships/hyperlink" Target="https://customercaresolutions.github.io/dr-sherine/versions/spark-therapeutics/full-resume.html" TargetMode="External"/><Relationship Id="rId11" Type="http://schemas.openxmlformats.org/officeDocument/2006/relationships/hyperlink" Target="https://customercaresolutions.github.io/dr-sherine/versions/spark-therapeutics/publications.html" TargetMode="External"/><Relationship Id="rId12" Type="http://schemas.openxmlformats.org/officeDocument/2006/relationships/hyperlink" Target="https://customercaresolutions.github.io/dr-sherine/versions/spark-therapeutics/presentations.html" TargetMode="External"/><Relationship Id="rId13" Type="http://schemas.openxmlformats.org/officeDocument/2006/relationships/hyperlink" Target="https://customercaresolutions.github.io/dr-sherine/versions/spark-therapeutics/theses.html" TargetMode="External"/><Relationship Id="rId14" Type="http://schemas.openxmlformats.org/officeDocument/2006/relationships/hyperlink" Target="https://customercaresolutions.github.io/dr-sherine/versions/spark-therapeutics/index.html#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