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595959"/>
          <w:sz w:val="30"/>
          <w:szCs w:val="30"/>
        </w:rPr>
        <w:t xml:space="preserve">프로젝트 분석 보고서</w:t>
      </w:r>
    </w:p>
    <w:p>
      <w:pPr>
        <w:spacing w:after="200"/>
      </w:pPr>
    </w:p>
    <w:p>
      <w:pPr>
        <w:jc w:val="center"/>
      </w:pPr>
      <w:r>
        <w:rPr>
          <w:b/>
          <w:bCs/>
          <w:color w:val="1F3864"/>
          <w:sz w:val="64"/>
          <w:szCs w:val="64"/>
        </w:rPr>
        <w:t xml:space="preserve">ClaimMate</w:t>
      </w:r>
    </w:p>
    <w:p>
      <w:pPr>
        <w:spacing w:after="160"/>
      </w:pPr>
    </w:p>
    <w:p>
      <w:pPr>
        <w:jc w:val="center"/>
      </w:pPr>
      <w:r>
        <w:rPr>
          <w:color w:val="595959"/>
          <w:sz w:val="24"/>
          <w:szCs w:val="24"/>
        </w:rPr>
        <w:t xml:space="preserve">자연어 소비자 민원 데이터 정형화·전처리부터 ML 분류, RAG 법령 검색,</w:t>
      </w:r>
    </w:p>
    <w:p>
      <w:pPr>
        <w:jc w:val="center"/>
      </w:pPr>
      <w:r>
        <w:rPr>
          <w:color w:val="595959"/>
          <w:sz w:val="24"/>
          <w:szCs w:val="24"/>
        </w:rPr>
        <w:t xml:space="preserve">LLM Agent 리포트 생성 및 Rerank 재산정까지의 전체 파이프라인 분석</w:t>
      </w:r>
    </w:p>
    <w:p>
      <w:pPr>
        <w:spacing w:after="900"/>
      </w:pPr>
    </w:p>
    <w:p>
      <w:pPr>
        <w:pBdr>
          <w:top w:val="single" w:color="BFBFBF" w:sz="6" w:space="8"/>
        </w:pBdr>
        <w:jc w:val="center"/>
      </w:pPr>
    </w:p>
    <w:p>
      <w:pPr>
        <w:spacing w:after="200"/>
      </w:pPr>
    </w:p>
    <w:p>
      <w:pPr>
        <w:jc w:val="center"/>
      </w:pPr>
      <w:r>
        <w:rPr>
          <w:color w:val="595959"/>
          <w:sz w:val="21"/>
          <w:szCs w:val="21"/>
        </w:rPr>
        <w:t xml:space="preserve">작성일: 2026년 8월 26일</w:t>
      </w:r>
    </w:p>
    <w:p>
      <w:pPr>
        <w:jc w:val="center"/>
      </w:pPr>
      <w:r>
        <w:rPr>
          <w:color w:val="595959"/>
          <w:sz w:val="21"/>
          <w:szCs w:val="21"/>
        </w:rPr>
        <w:t xml:space="preserve">대상 저장소: github.com/segamja/ClaimMate</w:t>
      </w:r>
    </w:p>
    <w:p>
      <w:pPr>
        <w:jc w:val="center"/>
      </w:pPr>
      <w:r>
        <w:rPr>
          <w:color w:val="595959"/>
          <w:sz w:val="21"/>
          <w:szCs w:val="21"/>
        </w:rPr>
        <w:t xml:space="preserve">배포: claim-mate-five.vercel.app</w:t>
      </w:r>
    </w:p>
    <w:p>
      <w:r>
        <w:br w:type="page"/>
      </w:r>
    </w:p>
    <w:p>
      <w:pPr>
        <w:sectPr>
          <w:pgSz w:w="11906" w:h="16838" w:orient="portrait"/>
          <w:pgMar w:top="1134" w:right="1134" w:bottom="1134" w:left="1134" w:header="708" w:footer="708" w:gutter="0"/>
          <w:pgNumType/>
          <w:docGrid w:linePitch="360"/>
        </w:sectPr>
      </w:pPr>
    </w:p>
    <w:p>
      <w:pPr>
        <w:pStyle w:val="Heading1"/>
        <w:pBdr>
          <w:bottom w:val="single" w:color="1F3864" w:sz="6" w:space="4"/>
        </w:pBdr>
        <w:spacing w:after="240" w:before="480"/>
      </w:pPr>
      <w:r>
        <w:rPr>
          <w:b/>
          <w:bCs/>
          <w:color w:val="1F3864"/>
          <w:sz w:val="30"/>
          <w:szCs w:val="30"/>
        </w:rPr>
        <w:t xml:space="preserve">0. 문서 개요</w:t>
      </w:r>
    </w:p>
    <w:p>
      <w:pPr>
        <w:spacing w:after="160" w:line="300"/>
      </w:pPr>
      <w:r>
        <w:rPr>
          <w:sz w:val="21"/>
          <w:szCs w:val="21"/>
        </w:rPr>
        <w:t xml:space="preserve">이 보고서는 ClaimMate 프로젝트의 docs 폴더(기술스택.md, 분석.md, SPEC_프로젝트개발명세서.md, SPEC_ClaimMate_Final.md, SPEC_RAG.md)를 근거로, 프로젝트에서 실제로 사용된 자연어 처리·데이터 분석·머신러닝·RAG·LLM 기법을 파이프라인 순서대로 상세히 정리한 것이다.</w:t>
      </w:r>
    </w:p>
    <w:p>
      <w:pPr>
        <w:spacing w:after="160" w:line="300"/>
      </w:pPr>
      <w:r>
        <w:rPr>
          <w:sz w:val="21"/>
          <w:szCs w:val="21"/>
        </w:rPr>
        <w:t xml:space="preserve">특히 다음 다섯 가지 질문에 답하는 것을 목표로 구성했다:</w:t>
      </w:r>
    </w:p>
    <w:p>
      <w:pPr>
        <w:pStyle w:val="ListParagraph"/>
        <w:numPr>
          <w:ilvl w:val="0"/>
          <w:numId w:val="2"/>
        </w:numPr>
        <w:spacing w:after="80" w:line="290"/>
      </w:pPr>
      <w:r>
        <w:rPr>
          <w:sz w:val="21"/>
          <w:szCs w:val="21"/>
        </w:rPr>
        <w:t xml:space="preserve">자연어(소비자 민원 텍스트)를 어떻게 정형화·전처리·분석하는가</w:t>
      </w:r>
    </w:p>
    <w:p>
      <w:pPr>
        <w:pStyle w:val="ListParagraph"/>
        <w:numPr>
          <w:ilvl w:val="0"/>
          <w:numId w:val="2"/>
        </w:numPr>
        <w:spacing w:after="80" w:line="290"/>
      </w:pPr>
      <w:r>
        <w:rPr>
          <w:sz w:val="21"/>
          <w:szCs w:val="21"/>
        </w:rPr>
        <w:t xml:space="preserve">LLM(OpenAI GPT-4o-mini)을 어느 단계에서 어떤 방식으로 사용하는가</w:t>
      </w:r>
    </w:p>
    <w:p>
      <w:pPr>
        <w:pStyle w:val="ListParagraph"/>
        <w:numPr>
          <w:ilvl w:val="0"/>
          <w:numId w:val="2"/>
        </w:numPr>
        <w:spacing w:after="80" w:line="290"/>
      </w:pPr>
      <w:r>
        <w:rPr>
          <w:sz w:val="21"/>
          <w:szCs w:val="21"/>
        </w:rPr>
        <w:t xml:space="preserve">Pandas / NumPy를 구체적으로 어떤 연산에 사용하는가</w:t>
      </w:r>
    </w:p>
    <w:p>
      <w:pPr>
        <w:pStyle w:val="ListParagraph"/>
        <w:numPr>
          <w:ilvl w:val="0"/>
          <w:numId w:val="2"/>
        </w:numPr>
        <w:spacing w:after="80" w:line="290"/>
      </w:pPr>
      <w:r>
        <w:rPr>
          <w:sz w:val="21"/>
          <w:szCs w:val="21"/>
        </w:rPr>
        <w:t xml:space="preserve">RAG(법령 지식베이스 검색)를 어떻게 구축·운영하는가</w:t>
      </w:r>
    </w:p>
    <w:p>
      <w:pPr>
        <w:pStyle w:val="ListParagraph"/>
        <w:numPr>
          <w:ilvl w:val="0"/>
          <w:numId w:val="2"/>
        </w:numPr>
        <w:spacing w:after="80" w:line="290"/>
      </w:pPr>
      <w:r>
        <w:rPr>
          <w:sz w:val="21"/>
          <w:szCs w:val="21"/>
        </w:rPr>
        <w:t xml:space="preserve">Rerank(검색·재산정) 로직을 어떻게 사용하는가</w:t>
      </w:r>
    </w:p>
    <w:p>
      <w:pPr>
        <w:spacing w:after="80"/>
      </w:pPr>
    </w:p>
    <w:p>
      <w:pPr>
        <w:pStyle w:val="Heading1"/>
        <w:pBdr>
          <w:bottom w:val="single" w:color="1F3864" w:sz="6" w:space="4"/>
        </w:pBdr>
        <w:spacing w:after="240" w:before="480"/>
      </w:pPr>
      <w:r>
        <w:rPr>
          <w:b/>
          <w:bCs/>
          <w:color w:val="1F3864"/>
          <w:sz w:val="30"/>
          <w:szCs w:val="30"/>
        </w:rPr>
        <w:t xml:space="preserve">1. 프로젝트 개요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항목</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내용</w:t>
            </w:r>
          </w:p>
        </w:tc>
      </w:tr>
      <w:tr>
        <w:trPr>
          <w:cantSplit/>
        </w:trPr>
        <w:tc>
          <w:tcPr>
            <w:tcW w:type="dxa" w:w="2200"/>
            <w:tcMar>
              <w:top w:type="dxa" w:w="100"/>
              <w:left w:type="dxa" w:w="120"/>
              <w:bottom w:type="dxa" w:w="100"/>
              <w:right w:type="dxa" w:w="120"/>
            </w:tcMar>
            <w:vAlign w:val="center"/>
          </w:tcPr>
          <w:p>
            <w:r>
              <w:rPr>
                <w:b w:val="false"/>
                <w:bCs w:val="false"/>
                <w:color w:val="1F1F1F"/>
                <w:sz w:val="20"/>
                <w:szCs w:val="20"/>
              </w:rPr>
              <w:t xml:space="preserve">프로젝트명</w:t>
            </w:r>
          </w:p>
        </w:tc>
        <w:tc>
          <w:tcPr>
            <w:tcW w:type="dxa" w:w="7150"/>
            <w:tcMar>
              <w:top w:type="dxa" w:w="100"/>
              <w:left w:type="dxa" w:w="120"/>
              <w:bottom w:type="dxa" w:w="100"/>
              <w:right w:type="dxa" w:w="120"/>
            </w:tcMar>
            <w:vAlign w:val="center"/>
          </w:tcPr>
          <w:p>
            <w:r>
              <w:rPr>
                <w:b w:val="false"/>
                <w:bCs w:val="false"/>
                <w:color w:val="1F1F1F"/>
                <w:sz w:val="20"/>
                <w:szCs w:val="20"/>
              </w:rPr>
              <w:t xml:space="preserve">ClaimMate (클레임메이트)</w:t>
            </w:r>
          </w:p>
        </w:tc>
      </w:tr>
      <w:tr>
        <w:trPr>
          <w:cantSplit/>
        </w:trPr>
        <w:tc>
          <w:tcPr>
            <w:tcW w:type="dxa" w:w="2200"/>
            <w:tcMar>
              <w:top w:type="dxa" w:w="100"/>
              <w:left w:type="dxa" w:w="120"/>
              <w:bottom w:type="dxa" w:w="100"/>
              <w:right w:type="dxa" w:w="120"/>
            </w:tcMar>
            <w:vAlign w:val="center"/>
          </w:tcPr>
          <w:p>
            <w:r>
              <w:rPr>
                <w:b w:val="false"/>
                <w:bCs w:val="false"/>
                <w:color w:val="1F1F1F"/>
                <w:sz w:val="20"/>
                <w:szCs w:val="20"/>
              </w:rPr>
              <w:t xml:space="preserve">목적</w:t>
            </w:r>
          </w:p>
        </w:tc>
        <w:tc>
          <w:tcPr>
            <w:tcW w:type="dxa" w:w="7150"/>
            <w:tcMar>
              <w:top w:type="dxa" w:w="100"/>
              <w:left w:type="dxa" w:w="120"/>
              <w:bottom w:type="dxa" w:w="100"/>
              <w:right w:type="dxa" w:w="120"/>
            </w:tcMar>
            <w:vAlign w:val="center"/>
          </w:tcPr>
          <w:p>
            <w:r>
              <w:rPr>
                <w:b w:val="false"/>
                <w:bCs w:val="false"/>
                <w:color w:val="1F1F1F"/>
                <w:sz w:val="20"/>
                <w:szCs w:val="20"/>
              </w:rPr>
              <w:t xml:space="preserve">소비자의 비정형 상담/피해 서술문을 입력받아 분쟁 유형을 자동 분류하고, 구제 성공 가능성·법적 근거·실행 계획·내용증명 초안까지 한 번에 제공하는 AI 소비자 피해구제 분석 에이전트</w:t>
            </w:r>
          </w:p>
        </w:tc>
      </w:tr>
      <w:tr>
        <w:trPr>
          <w:cantSplit/>
        </w:trPr>
        <w:tc>
          <w:tcPr>
            <w:tcW w:type="dxa" w:w="2200"/>
            <w:tcMar>
              <w:top w:type="dxa" w:w="100"/>
              <w:left w:type="dxa" w:w="120"/>
              <w:bottom w:type="dxa" w:w="100"/>
              <w:right w:type="dxa" w:w="120"/>
            </w:tcMar>
            <w:vAlign w:val="center"/>
          </w:tcPr>
          <w:p>
            <w:r>
              <w:rPr>
                <w:b w:val="false"/>
                <w:bCs w:val="false"/>
                <w:color w:val="1F1F1F"/>
                <w:sz w:val="20"/>
                <w:szCs w:val="20"/>
              </w:rPr>
              <w:t xml:space="preserve">데이터셋</w:t>
            </w:r>
          </w:p>
        </w:tc>
        <w:tc>
          <w:tcPr>
            <w:tcW w:type="dxa" w:w="7150"/>
            <w:tcMar>
              <w:top w:type="dxa" w:w="100"/>
              <w:left w:type="dxa" w:w="120"/>
              <w:bottom w:type="dxa" w:w="100"/>
              <w:right w:type="dxa" w:w="120"/>
            </w:tcMar>
            <w:vAlign w:val="center"/>
          </w:tcPr>
          <w:p>
            <w:r>
              <w:rPr>
                <w:b w:val="false"/>
                <w:bCs w:val="false"/>
                <w:color w:val="1F1F1F"/>
                <w:sz w:val="20"/>
                <w:szCs w:val="20"/>
              </w:rPr>
              <w:t xml:space="preserve">공정거래위원회 소비자 민원학습데이터(모범상담 사례) 공공데이터</w:t>
            </w:r>
          </w:p>
        </w:tc>
      </w:tr>
      <w:tr>
        <w:trPr>
          <w:cantSplit/>
        </w:trPr>
        <w:tc>
          <w:tcPr>
            <w:tcW w:type="dxa" w:w="2200"/>
            <w:tcMar>
              <w:top w:type="dxa" w:w="100"/>
              <w:left w:type="dxa" w:w="120"/>
              <w:bottom w:type="dxa" w:w="100"/>
              <w:right w:type="dxa" w:w="120"/>
            </w:tcMar>
            <w:vAlign w:val="center"/>
          </w:tcPr>
          <w:p>
            <w:r>
              <w:rPr>
                <w:b w:val="false"/>
                <w:bCs w:val="false"/>
                <w:color w:val="1F1F1F"/>
                <w:sz w:val="20"/>
                <w:szCs w:val="20"/>
              </w:rPr>
              <w:t xml:space="preserve">개발/배포</w:t>
            </w:r>
          </w:p>
        </w:tc>
        <w:tc>
          <w:tcPr>
            <w:tcW w:type="dxa" w:w="7150"/>
            <w:tcMar>
              <w:top w:type="dxa" w:w="100"/>
              <w:left w:type="dxa" w:w="120"/>
              <w:bottom w:type="dxa" w:w="100"/>
              <w:right w:type="dxa" w:w="120"/>
            </w:tcMar>
            <w:vAlign w:val="center"/>
          </w:tcPr>
          <w:p>
            <w:r>
              <w:rPr>
                <w:b w:val="false"/>
                <w:bCs w:val="false"/>
                <w:color w:val="1F1F1F"/>
                <w:sz w:val="20"/>
                <w:szCs w:val="20"/>
              </w:rPr>
              <w:t xml:space="preserve">Next.js 14 App Router + Vercel Serverless (TypeScript &amp; Python)</w:t>
            </w:r>
          </w:p>
        </w:tc>
      </w:tr>
      <w:tr>
        <w:trPr>
          <w:cantSplit/>
        </w:trPr>
        <w:tc>
          <w:tcPr>
            <w:tcW w:type="dxa" w:w="2200"/>
            <w:tcMar>
              <w:top w:type="dxa" w:w="100"/>
              <w:left w:type="dxa" w:w="120"/>
              <w:bottom w:type="dxa" w:w="100"/>
              <w:right w:type="dxa" w:w="120"/>
            </w:tcMar>
            <w:vAlign w:val="center"/>
          </w:tcPr>
          <w:p>
            <w:r>
              <w:rPr>
                <w:b w:val="false"/>
                <w:bCs w:val="false"/>
                <w:color w:val="1F1F1F"/>
                <w:sz w:val="20"/>
                <w:szCs w:val="20"/>
              </w:rPr>
              <w:t xml:space="preserve">핵심 설계</w:t>
            </w:r>
          </w:p>
        </w:tc>
        <w:tc>
          <w:tcPr>
            <w:tcW w:type="dxa" w:w="7150"/>
            <w:tcMar>
              <w:top w:type="dxa" w:w="100"/>
              <w:left w:type="dxa" w:w="120"/>
              <w:bottom w:type="dxa" w:w="100"/>
              <w:right w:type="dxa" w:w="120"/>
            </w:tcMar>
            <w:vAlign w:val="center"/>
          </w:tcPr>
          <w:p>
            <w:r>
              <w:rPr>
                <w:b w:val="false"/>
                <w:bCs w:val="false"/>
                <w:color w:val="1F1F1F"/>
                <w:sz w:val="20"/>
                <w:szCs w:val="20"/>
              </w:rPr>
              <w:t xml:space="preserve">Pandas/NumPy 정제 → Scikit-learn ML 분류/예측 → RAG 법령 검색 → LLM Agent 리포트 생성 → Rerank 재산정의 하이브리드 파이프라인</w:t>
            </w:r>
          </w:p>
        </w:tc>
      </w:tr>
    </w:tbl>
    <w:p>
      <w:pPr>
        <w:spacing w:after="160"/>
      </w:pPr>
    </w:p>
    <w:p>
      <w:pPr>
        <w:spacing w:after="160" w:line="300"/>
      </w:pPr>
      <w:r>
        <w:rPr>
          <w:sz w:val="21"/>
          <w:szCs w:val="21"/>
        </w:rPr>
        <w:t xml:space="preserve">즉 이 프로젝트는 순수 LLM 단독 서비스가 아니라, 통계적 지도학습(로지스틱 회귀)·비지도학습(K-Means)·검색 기반 RAG·생성형 LLM을 각 단계의 강점에 맞게 조합한 하이브리드 아키텍처라는 점이 핵심이다.</w:t>
      </w:r>
    </w:p>
    <w:p>
      <w:pPr>
        <w:pStyle w:val="Heading1"/>
        <w:pBdr>
          <w:bottom w:val="single" w:color="1F3864" w:sz="6" w:space="4"/>
        </w:pBdr>
        <w:spacing w:after="240" w:before="480"/>
      </w:pPr>
      <w:r>
        <w:rPr>
          <w:b/>
          <w:bCs/>
          <w:color w:val="1F3864"/>
          <w:sz w:val="30"/>
          <w:szCs w:val="30"/>
        </w:rPr>
        <w:t xml:space="preserve">2. 전체 파이프라인 아키텍처</w:t>
      </w:r>
    </w:p>
    <w:p>
      <w:pPr>
        <w:spacing w:after="160" w:line="300"/>
      </w:pPr>
      <w:r>
        <w:rPr>
          <w:sz w:val="21"/>
          <w:szCs w:val="21"/>
        </w:rPr>
        <w:t xml:space="preserve">전체 흐름은 아래와 같이 5단계로 이어진다. 이후 각 장에서 단계별로 상세히 설명한다.</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[1] 사용자 입력 (DisputeForm.tsx)</w:t>
            </w:r>
          </w:p>
          <w:p>
            <w:pPr>
              <w:spacing w:after="20"/>
            </w:pPr>
            <w:r>
              <w:rPr>
                <w:rFonts w:ascii="Consolas" w:cs="Consolas" w:eastAsia="Consolas" w:hAnsi="Consolas"/>
                <w:color w:val="1F1F1F"/>
                <w:sz w:val="19"/>
                <w:szCs w:val="19"/>
              </w:rPr>
              <w:t xml:space="preserve">    text, amount, date, category(힌트 — 분류에는 미반영)</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[2] Pandas/NumPy 전처리 (api/ml_engine/cleaner.py)</w:t>
            </w:r>
          </w:p>
          <w:p>
            <w:pPr>
              <w:spacing w:after="20"/>
            </w:pPr>
            <w:r>
              <w:rPr>
                <w:rFonts w:ascii="Consolas" w:cs="Consolas" w:eastAsia="Consolas" w:hAnsi="Consolas"/>
                <w:color w:val="1F1F1F"/>
                <w:sz w:val="19"/>
                <w:szCs w:val="19"/>
              </w:rPr>
              <w:t xml:space="preserve">    PII 마스킹 → 노이즈 제거 → 파생변수(길이/단어수/키워드 플래그) 생성</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[3] Scikit-learn ML 추론 (api/ml_engine/predictor.py)</w:t>
            </w:r>
          </w:p>
          <w:p>
            <w:pPr>
              <w:spacing w:after="20"/>
            </w:pPr>
            <w:r>
              <w:rPr>
                <w:rFonts w:ascii="Consolas" w:cs="Consolas" w:eastAsia="Consolas" w:hAnsi="Consolas"/>
                <w:color w:val="1F1F1F"/>
                <w:sz w:val="19"/>
                <w:szCs w:val="19"/>
              </w:rPr>
              <w:t xml:space="preserve">    TF-IDF(char n-gram) 벡터화 → Logistic Regression 분류(+confidence)</w:t>
            </w:r>
          </w:p>
          <w:p>
            <w:pPr>
              <w:spacing w:after="20"/>
            </w:pPr>
            <w:r>
              <w:rPr>
                <w:rFonts w:ascii="Consolas" w:cs="Consolas" w:eastAsia="Consolas" w:hAnsi="Consolas"/>
                <w:color w:val="1F1F1F"/>
                <w:sz w:val="19"/>
                <w:szCs w:val="19"/>
              </w:rPr>
              <w:t xml:space="preserve">    → confidence≥35%: 동일 카테고리 내 검색 / &lt;35%: K-Means 군집 확장</w:t>
            </w:r>
          </w:p>
          <w:p>
            <w:pPr>
              <w:spacing w:after="20"/>
            </w:pPr>
            <w:r>
              <w:rPr>
                <w:rFonts w:ascii="Consolas" w:cs="Consolas" w:eastAsia="Consolas" w:hAnsi="Consolas"/>
                <w:color w:val="1F1F1F"/>
                <w:sz w:val="19"/>
                <w:szCs w:val="19"/>
              </w:rPr>
              <w:t xml:space="preserve">    → Cosine Similarity Top-3 유사사례 검색</w:t>
            </w:r>
          </w:p>
          <w:p>
            <w:pPr>
              <w:spacing w:after="20"/>
            </w:pPr>
            <w:r>
              <w:rPr>
                <w:rFonts w:ascii="Consolas" w:cs="Consolas" w:eastAsia="Consolas" w:hAnsi="Consolas"/>
                <w:color w:val="1F1F1F"/>
                <w:sz w:val="19"/>
                <w:szCs w:val="19"/>
              </w:rPr>
              <w:t xml:space="preserve">    → success_rate = 0.55×confidence + 0.45×(Top-3 base_success_rate 평균)</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[4] RAG 법령 검색 (lib/legalSearch.ts)</w:t>
            </w:r>
          </w:p>
          <w:p>
            <w:pPr>
              <w:spacing w:after="20"/>
            </w:pPr>
            <w:r>
              <w:rPr>
                <w:rFonts w:ascii="Consolas" w:cs="Consolas" w:eastAsia="Consolas" w:hAnsi="Consolas"/>
                <w:color w:val="1F1F1F"/>
                <w:sz w:val="19"/>
                <w:szCs w:val="19"/>
              </w:rPr>
              <w:t xml:space="preserve">    상담 텍스트 임베딩(text-embedding-3-small)</w:t>
            </w:r>
          </w:p>
          <w:p>
            <w:pPr>
              <w:spacing w:after="20"/>
            </w:pPr>
            <w:r>
              <w:rPr>
                <w:rFonts w:ascii="Consolas" w:cs="Consolas" w:eastAsia="Consolas" w:hAnsi="Consolas"/>
                <w:color w:val="1F1F1F"/>
                <w:sz w:val="19"/>
                <w:szCs w:val="19"/>
              </w:rPr>
              <w:t xml:space="preserve">    → legal_kb_embedded.json(42개 청크)과 하이브리드 검색(코사인+카테고리+키워드)</w:t>
            </w:r>
          </w:p>
          <w:p>
            <w:pPr>
              <w:spacing w:after="20"/>
            </w:pPr>
            <w:r>
              <w:rPr>
                <w:rFonts w:ascii="Consolas" w:cs="Consolas" w:eastAsia="Consolas" w:hAnsi="Consolas"/>
                <w:color w:val="1F1F1F"/>
                <w:sz w:val="19"/>
                <w:szCs w:val="19"/>
              </w:rPr>
              <w:t xml:space="preserve">    → Top-2 조항 반환</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[5] LLM Agent 리포트 생성 (app/api/agent/route.ts, GPT-4o-mini)</w:t>
            </w:r>
          </w:p>
          <w:p>
            <w:pPr>
              <w:spacing w:after="20"/>
            </w:pPr>
            <w:r>
              <w:rPr>
                <w:rFonts w:ascii="Consolas" w:cs="Consolas" w:eastAsia="Consolas" w:hAnsi="Consolas"/>
                <w:color w:val="1F1F1F"/>
                <w:sz w:val="19"/>
                <w:szCs w:val="19"/>
              </w:rPr>
              <w:t xml:space="preserve">    RAG 조항을 [REFERENCE LEGAL CONTEXT]로 프롬프트에 주입</w:t>
            </w:r>
          </w:p>
          <w:p>
            <w:pPr>
              <w:spacing w:after="20"/>
            </w:pPr>
            <w:r>
              <w:rPr>
                <w:rFonts w:ascii="Consolas" w:cs="Consolas" w:eastAsia="Consolas" w:hAnsi="Consolas"/>
                <w:color w:val="1F1F1F"/>
                <w:sz w:val="19"/>
                <w:szCs w:val="19"/>
              </w:rPr>
              <w:t xml:space="preserve">    → Structured JSON Output 생성 (법적근거/환급액/실행계획/내용증명 등)</w:t>
            </w:r>
          </w:p>
          <w:p>
            <w:pPr>
              <w:spacing w:after="20"/>
            </w:pPr>
            <w:r>
              <w:rPr>
                <w:rFonts w:ascii="Consolas" w:cs="Consolas" w:eastAsia="Consolas" w:hAnsi="Consolas"/>
                <w:color w:val="1F1F1F"/>
                <w:sz w:val="19"/>
                <w:szCs w:val="19"/>
              </w:rPr>
              <w:t xml:space="preserve">    → legal_success_estimate 산출 → Rerank(상향 전용 override) → 최종 success_rate 확정</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[6] Next.js 프론트엔드 대시보드 렌더링 (ResultReport.tsx 등)</w:t>
            </w:r>
          </w:p>
        </w:tc>
      </w:tr>
    </w:tbl>
    <w:p>
      <w:pPr>
        <w:spacing w:after="120"/>
      </w:pPr>
    </w:p>
    <w:p>
      <w:pPr>
        <w:pStyle w:val="Heading1"/>
        <w:pBdr>
          <w:bottom w:val="single" w:color="1F3864" w:sz="6" w:space="4"/>
        </w:pBdr>
        <w:spacing w:after="240" w:before="480"/>
      </w:pPr>
      <w:r>
        <w:rPr>
          <w:b/>
          <w:bCs/>
          <w:color w:val="1F3864"/>
          <w:sz w:val="30"/>
          <w:szCs w:val="30"/>
        </w:rPr>
        <w:t xml:space="preserve">3. 1단계 — 원본 데이터 정형화 (1회성 빌드 스크립트)</w:t>
      </w:r>
    </w:p>
    <w:p>
      <w:pPr>
        <w:spacing w:after="160" w:line="300"/>
      </w:pPr>
      <w:r>
        <w:rPr>
          <w:sz w:val="21"/>
          <w:szCs w:val="21"/>
        </w:rPr>
        <w:t xml:space="preserve">원본 CSV(공정거래위원회 소비자 민원학습데이터, 565건)는 사건번호·상담제목·상담내용·답변내용 4개 컬럼만 있고, 카테고리 라벨도 환급 성공/실패 라벨도 없는 완전한 비정형·무라벨 텍스트 데이터다. 이를 매 요청마다 처리하지 않고 배포 전 build_case_bank.py가 단 한 번 실행되어 정형화된 case_bank_data.json(425건)을 만들어 둔다.</w:t>
      </w:r>
    </w:p>
    <w:p>
      <w:pPr>
        <w:pStyle w:val="Heading2"/>
        <w:spacing w:after="160" w:before="320"/>
      </w:pPr>
      <w:r>
        <w:rPr>
          <w:b/>
          <w:bCs/>
          <w:color w:val="2E74B5"/>
          <w:sz w:val="25"/>
          <w:szCs w:val="25"/>
        </w:rPr>
        <w:t xml:space="preserve">3.1 원본 로드</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pandas.read_csv(..., encoding="utf-8-sig", engine="python", on_bad_lines="skip")</w:t>
            </w:r>
          </w:p>
        </w:tc>
      </w:tr>
    </w:tbl>
    <w:p>
      <w:pPr>
        <w:spacing w:after="160" w:line="300"/>
      </w:pPr>
      <w:r>
        <w:rPr>
          <w:sz w:val="21"/>
          <w:szCs w:val="21"/>
        </w:rPr>
        <w:t xml:space="preserve">공공데이터 특유의 BOM(바이트 순서 표식)과 줄바꿈 깨짐·불량 행을 자동으로 건너뛰도록 인코딩·엔진 옵션을 명시적으로 지정했다.</w:t>
      </w:r>
    </w:p>
    <w:p>
      <w:pPr>
        <w:pStyle w:val="Heading2"/>
        <w:spacing w:after="160" w:before="320"/>
      </w:pPr>
      <w:r>
        <w:rPr>
          <w:b/>
          <w:bCs/>
          <w:color w:val="2E74B5"/>
          <w:sz w:val="25"/>
          <w:szCs w:val="25"/>
        </w:rPr>
        <w:t xml:space="preserve">3.2 규칙 기반 카테고리 라벨링</w:t>
      </w:r>
    </w:p>
    <w:p>
      <w:pPr>
        <w:spacing w:after="160" w:line="300"/>
      </w:pPr>
      <w:r>
        <w:rPr>
          <w:sz w:val="21"/>
          <w:szCs w:val="21"/>
        </w:rPr>
        <w:t xml:space="preserve">정답 라벨이 없으므로, '제목+본문' 텍스트에서 14개 카테고리별 키워드 리스트(예: 의료/병원 → "병원","진료","수술" 등)와의 매칭 점수를 계산해 가장 많이 매칭된 카테고리를 배정하는 규칙 기반(rule-based) 라벨링을 수행한다. 매칭 점수가 0이면(어느 카테고리에도 해당하지 않으면) 해당 레코드는 폐기한다.</w:t>
      </w:r>
    </w:p>
    <w:p>
      <w:pPr>
        <w:pStyle w:val="Heading2"/>
        <w:spacing w:after="160" w:before="320"/>
      </w:pPr>
      <w:r>
        <w:rPr>
          <w:b/>
          <w:bCs/>
          <w:color w:val="2E74B5"/>
          <w:sz w:val="25"/>
          <w:szCs w:val="25"/>
        </w:rPr>
        <w:t xml:space="preserve">3.3 성공확률 근사 라벨링</w:t>
      </w:r>
    </w:p>
    <w:p>
      <w:pPr>
        <w:spacing w:after="160" w:line="300"/>
      </w:pPr>
      <w:r>
        <w:rPr>
          <w:sz w:val="21"/>
          <w:szCs w:val="21"/>
        </w:rPr>
        <w:t xml:space="preserve">실측 처리결과 라벨이 없기 때문에, 답변내용의 어조에서 긍정 신호("가능합니다", "인정됩니다" 등)와 부정 신호("어렵습니다", "거부할 수 있습니다" 등) 단어의 등장 횟수를 세어 다음 공식으로 근사 라벨을 부여한다.</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base_success_rate = clip( 65 + (긍정 신호 수 − 부정 신호 수) × 8 ,  30, 90 )</w:t>
            </w:r>
          </w:p>
        </w:tc>
      </w:tr>
    </w:tbl>
    <w:p>
      <w:pPr>
        <w:pStyle w:val="Heading2"/>
        <w:spacing w:after="160" w:before="320"/>
      </w:pPr>
      <w:r>
        <w:rPr>
          <w:b/>
          <w:bCs/>
          <w:color w:val="2E74B5"/>
          <w:sz w:val="25"/>
          <w:szCs w:val="25"/>
        </w:rPr>
        <w:t xml:space="preserve">3.4 텍스트 길이 제한 및 결과</w:t>
      </w:r>
    </w:p>
    <w:p>
      <w:pPr>
        <w:pStyle w:val="ListParagraph"/>
        <w:numPr>
          <w:ilvl w:val="0"/>
          <w:numId w:val="2"/>
        </w:numPr>
        <w:spacing w:after="80" w:line="290"/>
      </w:pPr>
      <w:r>
        <w:rPr>
          <w:sz w:val="21"/>
          <w:szCs w:val="21"/>
        </w:rPr>
        <w:t xml:space="preserve">상담내용 400자, 답변 160자, 제목(=dispute_type) 80자로 절단 — 저장 크기와 이후 LLM 프롬프트 토큰 비용을 관리</w:t>
      </w:r>
    </w:p>
    <w:p>
      <w:pPr>
        <w:pStyle w:val="ListParagraph"/>
        <w:numPr>
          <w:ilvl w:val="0"/>
          <w:numId w:val="2"/>
        </w:numPr>
        <w:spacing w:after="80" w:line="290"/>
      </w:pPr>
      <w:r>
        <w:rPr>
          <w:sz w:val="21"/>
          <w:szCs w:val="21"/>
        </w:rPr>
        <w:t xml:space="preserve">최종 425건 확보. 카테고리 분포는 의료/병원 153건 최다, 체육시설/헬스장 4건·화장품/미용 6건 등 극소수로 심한 불균형</w:t>
      </w:r>
    </w:p>
    <w:p>
      <w:pPr>
        <w:pStyle w:val="ListParagraph"/>
        <w:numPr>
          <w:ilvl w:val="0"/>
          <w:numId w:val="2"/>
        </w:numPr>
        <w:spacing w:after="80" w:line="290"/>
      </w:pPr>
      <w:r>
        <w:rPr>
          <w:b/>
          <w:bCs/>
          <w:color w:val="1F3864"/>
          <w:sz w:val="21"/>
          <w:szCs w:val="21"/>
        </w:rPr>
        <w:t xml:space="preserve">희소 카테고리 보강: </w:t>
      </w:r>
      <w:r>
        <w:rPr>
          <w:sz w:val="21"/>
          <w:szCs w:val="21"/>
        </w:rPr>
        <w:t xml:space="preserve">이 불균형을 보완하기 위해 predictor.py에서 SYNTHETIC_CASES(수작성 94건)를 추가로 합쳐 사용한다</w:t>
      </w:r>
    </w:p>
    <w:p>
      <w:pPr>
        <w:spacing w:after="60"/>
      </w:pPr>
    </w:p>
    <w:tbl>
      <w:tblPr>
        <w:tblW w:type="dxa" w:w="9350"/>
        <w:tblBorders>
          <w:top w:val="single" w:color="2E74B5" w:sz="4"/>
          <w:left w:val="single" w:color="2E74B5" w:sz="24"/>
          <w:bottom w:val="single" w:color="2E74B5" w:sz="4"/>
          <w:right w:val="single" w:color="2E74B5" w:sz="4"/>
          <w:insideH w:val="none" w:color="FFFFFF" w:sz="0"/>
          <w:insideV w:val="none" w:color="FFFFFF" w:sz="0"/>
        </w:tblBorders>
      </w:tblPr>
      <w:tblGrid>
        <w:gridCol w:w="9350"/>
      </w:tblGrid>
      <w:tr>
        <w:tc>
          <w:tcPr>
            <w:tcW w:type="dxa" w:w="9350"/>
            <w:shd w:fill="EAF1F8" w:val="clear"/>
            <w:tcMar>
              <w:top w:type="dxa" w:w="140"/>
              <w:left w:type="dxa" w:w="220"/>
              <w:bottom w:type="dxa" w:w="140"/>
              <w:right w:type="dxa" w:w="220"/>
            </w:tcMar>
          </w:tcPr>
          <w:p>
            <w:pPr>
              <w:spacing w:after="60"/>
            </w:pPr>
            <w:r>
              <w:rPr>
                <w:b/>
                <w:bCs/>
                <w:color w:val="1F3864"/>
                <w:sz w:val="21"/>
                <w:szCs w:val="21"/>
              </w:rPr>
              <w:t xml:space="preserve">핵심 설계 포인트</w:t>
            </w:r>
          </w:p>
          <w:p>
            <w:pPr>
              <w:spacing w:after="40" w:line="280"/>
            </w:pPr>
            <w:r>
              <w:rPr>
                <w:sz w:val="20"/>
                <w:szCs w:val="20"/>
              </w:rPr>
              <w:t xml:space="preserve">라벨이 전혀 없는 원시 상담 데이터를 규칙 기반으로 1회 라벨링해 두고, 이후 모든 런타임 추론은 이 정형화된 결과(case_bank_data.json)만 참조한다. 이렇게 하면 매 요청마다 원본 대용량 CSV를 다시 파싱·정제할 필요가 없어 응답 속도와 서버리스 비용을 모두 절감한다.</w:t>
            </w:r>
          </w:p>
        </w:tc>
      </w:tr>
    </w:tbl>
    <w:p>
      <w:pPr>
        <w:pStyle w:val="Heading1"/>
        <w:pBdr>
          <w:bottom w:val="single" w:color="1F3864" w:sz="6" w:space="4"/>
        </w:pBdr>
        <w:spacing w:after="240" w:before="480"/>
      </w:pPr>
      <w:r>
        <w:rPr>
          <w:b/>
          <w:bCs/>
          <w:color w:val="1F3864"/>
          <w:sz w:val="30"/>
          <w:szCs w:val="30"/>
        </w:rPr>
        <w:t xml:space="preserve">4. 2단계 — 런타임 자연어 전처리 (cleaner.py)</w:t>
      </w:r>
    </w:p>
    <w:p>
      <w:pPr>
        <w:spacing w:after="160" w:line="300"/>
      </w:pPr>
      <w:r>
        <w:rPr>
          <w:sz w:val="21"/>
          <w:szCs w:val="21"/>
        </w:rPr>
        <w:t xml:space="preserve">사용자가 매 요청 때 입력하는 텍스트(그리고 케이스뱅크 텍스트도 동일 파이프라인)를 정제하는 단계로, api/ml_engine/cleaner.py에서 수행한다.</w:t>
      </w:r>
    </w:p>
    <w:p>
      <w:pPr>
        <w:pStyle w:val="Heading2"/>
        <w:spacing w:after="160" w:before="320"/>
      </w:pPr>
      <w:r>
        <w:rPr>
          <w:b/>
          <w:bCs/>
          <w:color w:val="2E74B5"/>
          <w:sz w:val="25"/>
          <w:szCs w:val="25"/>
        </w:rPr>
        <w:t xml:space="preserve">4.1 PII(개인정보) 마스킹</w:t>
      </w:r>
    </w:p>
    <w:p>
      <w:pPr>
        <w:spacing w:after="160" w:line="300"/>
      </w:pPr>
      <w:r>
        <w:rPr>
          <w:sz w:val="21"/>
          <w:szCs w:val="21"/>
        </w:rPr>
        <w:t xml:space="preserve">정규식(re)으로 전화번호, 주민등록번호, 이메일, 카드번호 패턴을 탐지해 각각 [전화번호] 등의 플레이스홀더로 치환한다.</w:t>
      </w:r>
    </w:p>
    <w:p>
      <w:pPr>
        <w:pStyle w:val="Heading2"/>
        <w:spacing w:after="160" w:before="320"/>
      </w:pPr>
      <w:r>
        <w:rPr>
          <w:b/>
          <w:bCs/>
          <w:color w:val="2E74B5"/>
          <w:sz w:val="25"/>
          <w:szCs w:val="25"/>
        </w:rPr>
        <w:t xml:space="preserve">4.2 노이즈 제거</w:t>
      </w:r>
    </w:p>
    <w:p>
      <w:pPr>
        <w:spacing w:after="160" w:line="300"/>
      </w:pPr>
      <w:r>
        <w:rPr>
          <w:sz w:val="21"/>
          <w:szCs w:val="21"/>
        </w:rPr>
        <w:t xml:space="preserve">한글·영문·숫자·기본 문장부호(.,!?%~()) 이외의 특수문자를 공백으로 치환한 뒤, 연속된 다중 공백을 하나로 정규화한다.</w:t>
      </w:r>
    </w:p>
    <w:p>
      <w:pPr>
        <w:pStyle w:val="Heading2"/>
        <w:spacing w:after="160" w:before="320"/>
      </w:pPr>
      <w:r>
        <w:rPr>
          <w:b/>
          <w:bCs/>
          <w:color w:val="2E74B5"/>
          <w:sz w:val="25"/>
          <w:szCs w:val="25"/>
        </w:rPr>
        <w:t xml:space="preserve">4.3 파생변수 생성 (Pandas/NumPy)</w:t>
      </w:r>
    </w:p>
    <w:p>
      <w:pPr>
        <w:pStyle w:val="ListParagraph"/>
        <w:numPr>
          <w:ilvl w:val="0"/>
          <w:numId w:val="2"/>
        </w:numPr>
        <w:spacing w:after="80" w:line="290"/>
      </w:pPr>
      <w:r>
        <w:rPr>
          <w:sz w:val="21"/>
          <w:szCs w:val="21"/>
        </w:rPr>
        <w:t xml:space="preserve">text_length — 텍스트 전체 길이</w:t>
      </w:r>
    </w:p>
    <w:p>
      <w:pPr>
        <w:pStyle w:val="ListParagraph"/>
        <w:numPr>
          <w:ilvl w:val="0"/>
          <w:numId w:val="2"/>
        </w:numPr>
        <w:spacing w:after="80" w:line="290"/>
      </w:pPr>
      <w:r>
        <w:rPr>
          <w:sz w:val="21"/>
          <w:szCs w:val="21"/>
        </w:rPr>
        <w:t xml:space="preserve">word_count — 공백 기준 단어 수</w:t>
      </w:r>
    </w:p>
    <w:p>
      <w:pPr>
        <w:pStyle w:val="ListParagraph"/>
        <w:numPr>
          <w:ilvl w:val="0"/>
          <w:numId w:val="2"/>
        </w:numPr>
        <w:spacing w:after="80" w:line="290"/>
      </w:pPr>
      <w:r>
        <w:rPr>
          <w:sz w:val="21"/>
          <w:szCs w:val="21"/>
        </w:rPr>
        <w:t xml:space="preserve">kw_* 플래그 — 환불/위약금/하자/해지/청약철회 등 15개 핵심 불만 키워드 각각의 등장 여부를 0/1 플래그 컬럼으로 생성</w:t>
      </w:r>
    </w:p>
    <w:p>
      <w:pPr>
        <w:pStyle w:val="ListParagraph"/>
        <w:numPr>
          <w:ilvl w:val="0"/>
          <w:numId w:val="2"/>
        </w:numPr>
        <w:spacing w:after="80" w:line="290"/>
      </w:pPr>
      <w:r>
        <w:rPr>
          <w:sz w:val="21"/>
          <w:szCs w:val="21"/>
        </w:rPr>
        <w:t xml:space="preserve">keyword_score — 위 15개 kw_* 플래그의 합</w:t>
      </w:r>
    </w:p>
    <w:p>
      <w:pPr>
        <w:pStyle w:val="Heading2"/>
        <w:spacing w:after="160" w:before="320"/>
      </w:pPr>
      <w:r>
        <w:rPr>
          <w:b/>
          <w:bCs/>
          <w:color w:val="2E74B5"/>
          <w:sz w:val="25"/>
          <w:szCs w:val="25"/>
        </w:rPr>
        <w:t xml:space="preserve">4.4 수치 피처 행렬화</w:t>
      </w:r>
    </w:p>
    <w:p>
      <w:pPr>
        <w:spacing w:after="160" w:line="300"/>
      </w:pPr>
      <w:r>
        <w:rPr>
          <w:sz w:val="21"/>
          <w:szCs w:val="21"/>
        </w:rPr>
        <w:t xml:space="preserve">text_length/200, word_count/40(각각 0~3 범위로 clip)과 keyword_score 비율, 15개 키워드 플래그를 numpy.column_stack으로 묶어 모델 입력용 수치 피처 행렬(18차원)을 생성한다. 이 수치 행렬은 이후 5장에서 TF-IDF 희소행렬과 결합된다.</w:t>
      </w:r>
    </w:p>
    <w:p>
      <w:pPr>
        <w:pStyle w:val="Heading1"/>
        <w:pBdr>
          <w:bottom w:val="single" w:color="1F3864" w:sz="6" w:space="4"/>
        </w:pBdr>
        <w:spacing w:after="240" w:before="480"/>
      </w:pPr>
      <w:r>
        <w:rPr>
          <w:b/>
          <w:bCs/>
          <w:color w:val="1F3864"/>
          <w:sz w:val="30"/>
          <w:szCs w:val="30"/>
        </w:rPr>
        <w:t xml:space="preserve">5. Pandas / NumPy 활용 상세 정리</w:t>
      </w:r>
    </w:p>
    <w:p>
      <w:pPr>
        <w:spacing w:after="160" w:line="300"/>
      </w:pPr>
      <w:r>
        <w:rPr>
          <w:sz w:val="21"/>
          <w:szCs w:val="21"/>
        </w:rPr>
        <w:t xml:space="preserve">사용자가 특히 궁금해할 Pandas·NumPy의 실제 사용처를 한 곳에 모아 정리하면 다음과 같다.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50"/>
      </w:tblGrid>
      <w:tr>
        <w:trPr>
          <w:tblHeader/>
        </w:trPr>
        <w:tc>
          <w:tcPr>
            <w:tcW w:type="dxa" w:w="1500"/>
            <w:shd w:fill="1F3864" w:val="clear"/>
            <w:tcMar>
              <w:top w:type="dxa" w:w="100"/>
              <w:left w:type="dxa" w:w="120"/>
              <w:bottom w:type="dxa" w:w="100"/>
              <w:right w:type="dxa" w:w="120"/>
            </w:tcMar>
            <w:vAlign w:val="center"/>
          </w:tcPr>
          <w:p>
            <w:r>
              <w:rPr>
                <w:b/>
                <w:bCs/>
                <w:color w:val="FFFFFF"/>
                <w:sz w:val="20"/>
                <w:szCs w:val="20"/>
              </w:rPr>
              <w:t xml:space="preserve">구분</w:t>
            </w:r>
          </w:p>
        </w:tc>
        <w:tc>
          <w:tcPr>
            <w:tcW w:type="dxa" w:w="4200"/>
            <w:shd w:fill="1F3864" w:val="clear"/>
            <w:tcMar>
              <w:top w:type="dxa" w:w="100"/>
              <w:left w:type="dxa" w:w="120"/>
              <w:bottom w:type="dxa" w:w="100"/>
              <w:right w:type="dxa" w:w="120"/>
            </w:tcMar>
            <w:vAlign w:val="center"/>
          </w:tcPr>
          <w:p>
            <w:r>
              <w:rPr>
                <w:b/>
                <w:bCs/>
                <w:color w:val="FFFFFF"/>
                <w:sz w:val="20"/>
                <w:szCs w:val="20"/>
              </w:rPr>
              <w:t xml:space="preserve">라이브러리/함수</w:t>
            </w:r>
          </w:p>
        </w:tc>
        <w:tc>
          <w:tcPr>
            <w:tcW w:type="dxa" w:w="3650"/>
            <w:shd w:fill="1F3864" w:val="clear"/>
            <w:tcMar>
              <w:top w:type="dxa" w:w="100"/>
              <w:left w:type="dxa" w:w="120"/>
              <w:bottom w:type="dxa" w:w="100"/>
              <w:right w:type="dxa" w:w="120"/>
            </w:tcMar>
            <w:vAlign w:val="center"/>
          </w:tcPr>
          <w:p>
            <w:r>
              <w:rPr>
                <w:b/>
                <w:bCs/>
                <w:color w:val="FFFFFF"/>
                <w:sz w:val="20"/>
                <w:szCs w:val="20"/>
              </w:rPr>
              <w:t xml:space="preserve">사용 목적 및 위치</w:t>
            </w:r>
          </w:p>
        </w:tc>
      </w:tr>
      <w:tr>
        <w:trPr>
          <w:cantSplit/>
        </w:trPr>
        <w:tc>
          <w:tcPr>
            <w:tcW w:type="dxa" w:w="1500"/>
            <w:tcMar>
              <w:top w:type="dxa" w:w="100"/>
              <w:left w:type="dxa" w:w="120"/>
              <w:bottom w:type="dxa" w:w="100"/>
              <w:right w:type="dxa" w:w="120"/>
            </w:tcMar>
            <w:vAlign w:val="center"/>
          </w:tcPr>
          <w:p>
            <w:r>
              <w:rPr>
                <w:b w:val="false"/>
                <w:bCs w:val="false"/>
                <w:color w:val="1F1F1F"/>
                <w:sz w:val="20"/>
                <w:szCs w:val="20"/>
              </w:rPr>
              <w:t xml:space="preserve">원본 로드</w:t>
            </w:r>
          </w:p>
        </w:tc>
        <w:tc>
          <w:tcPr>
            <w:tcW w:type="dxa" w:w="4200"/>
            <w:tcMar>
              <w:top w:type="dxa" w:w="100"/>
              <w:left w:type="dxa" w:w="120"/>
              <w:bottom w:type="dxa" w:w="100"/>
              <w:right w:type="dxa" w:w="120"/>
            </w:tcMar>
            <w:vAlign w:val="center"/>
          </w:tcPr>
          <w:p>
            <w:r>
              <w:rPr>
                <w:b w:val="false"/>
                <w:bCs w:val="false"/>
                <w:color w:val="1F1F1F"/>
                <w:sz w:val="20"/>
                <w:szCs w:val="20"/>
              </w:rPr>
              <w:t xml:space="preserve">pandas.read_csv(encoding="utf-8-sig", engine="python", on_bad_lines="skip")</w:t>
            </w:r>
          </w:p>
        </w:tc>
        <w:tc>
          <w:tcPr>
            <w:tcW w:type="dxa" w:w="3650"/>
            <w:tcMar>
              <w:top w:type="dxa" w:w="100"/>
              <w:left w:type="dxa" w:w="120"/>
              <w:bottom w:type="dxa" w:w="100"/>
              <w:right w:type="dxa" w:w="120"/>
            </w:tcMar>
            <w:vAlign w:val="center"/>
          </w:tcPr>
          <w:p>
            <w:r>
              <w:rPr>
                <w:b w:val="false"/>
                <w:bCs w:val="false"/>
                <w:color w:val="1F1F1F"/>
                <w:sz w:val="20"/>
                <w:szCs w:val="20"/>
              </w:rPr>
              <w:t xml:space="preserve">BOM·불량 행이 섞인 공공데이터 CSV를 안전하게 DataFrame으로 로드 (build_case_bank.py)</w:t>
            </w:r>
          </w:p>
        </w:tc>
      </w:tr>
      <w:tr>
        <w:trPr>
          <w:cantSplit/>
        </w:trPr>
        <w:tc>
          <w:tcPr>
            <w:tcW w:type="dxa" w:w="1500"/>
            <w:tcMar>
              <w:top w:type="dxa" w:w="100"/>
              <w:left w:type="dxa" w:w="120"/>
              <w:bottom w:type="dxa" w:w="100"/>
              <w:right w:type="dxa" w:w="120"/>
            </w:tcMar>
            <w:vAlign w:val="center"/>
          </w:tcPr>
          <w:p>
            <w:r>
              <w:rPr>
                <w:b w:val="false"/>
                <w:bCs w:val="false"/>
                <w:color w:val="1F1F1F"/>
                <w:sz w:val="20"/>
                <w:szCs w:val="20"/>
              </w:rPr>
              <w:t xml:space="preserve">결측치/공백 필터링</w:t>
            </w:r>
          </w:p>
        </w:tc>
        <w:tc>
          <w:tcPr>
            <w:tcW w:type="dxa" w:w="4200"/>
            <w:tcMar>
              <w:top w:type="dxa" w:w="100"/>
              <w:left w:type="dxa" w:w="120"/>
              <w:bottom w:type="dxa" w:w="100"/>
              <w:right w:type="dxa" w:w="120"/>
            </w:tcMar>
            <w:vAlign w:val="center"/>
          </w:tcPr>
          <w:p>
            <w:r>
              <w:rPr>
                <w:b w:val="false"/>
                <w:bCs w:val="false"/>
                <w:color w:val="1F1F1F"/>
                <w:sz w:val="20"/>
                <w:szCs w:val="20"/>
              </w:rPr>
              <w:t xml:space="preserve">df.dropna(), 공백·노이즈 텍스트 필터링</w:t>
            </w:r>
          </w:p>
        </w:tc>
        <w:tc>
          <w:tcPr>
            <w:tcW w:type="dxa" w:w="3650"/>
            <w:tcMar>
              <w:top w:type="dxa" w:w="100"/>
              <w:left w:type="dxa" w:w="120"/>
              <w:bottom w:type="dxa" w:w="100"/>
              <w:right w:type="dxa" w:w="120"/>
            </w:tcMar>
            <w:vAlign w:val="center"/>
          </w:tcPr>
          <w:p>
            <w:r>
              <w:rPr>
                <w:b w:val="false"/>
                <w:bCs w:val="false"/>
                <w:color w:val="1F1F1F"/>
                <w:sz w:val="20"/>
                <w:szCs w:val="20"/>
              </w:rPr>
              <w:t xml:space="preserve">빈 값·의미 없는 텍스트 행 제거 (build_case_bank.py / cleaner.py)</w:t>
            </w:r>
          </w:p>
        </w:tc>
      </w:tr>
      <w:tr>
        <w:trPr>
          <w:cantSplit/>
        </w:trPr>
        <w:tc>
          <w:tcPr>
            <w:tcW w:type="dxa" w:w="1500"/>
            <w:tcMar>
              <w:top w:type="dxa" w:w="100"/>
              <w:left w:type="dxa" w:w="120"/>
              <w:bottom w:type="dxa" w:w="100"/>
              <w:right w:type="dxa" w:w="120"/>
            </w:tcMar>
            <w:vAlign w:val="center"/>
          </w:tcPr>
          <w:p>
            <w:r>
              <w:rPr>
                <w:b w:val="false"/>
                <w:bCs w:val="false"/>
                <w:color w:val="1F1F1F"/>
                <w:sz w:val="20"/>
                <w:szCs w:val="20"/>
              </w:rPr>
              <w:t xml:space="preserve">파생변수 생성</w:t>
            </w:r>
          </w:p>
        </w:tc>
        <w:tc>
          <w:tcPr>
            <w:tcW w:type="dxa" w:w="4200"/>
            <w:tcMar>
              <w:top w:type="dxa" w:w="100"/>
              <w:left w:type="dxa" w:w="120"/>
              <w:bottom w:type="dxa" w:w="100"/>
              <w:right w:type="dxa" w:w="120"/>
            </w:tcMar>
            <w:vAlign w:val="center"/>
          </w:tcPr>
          <w:p>
            <w:r>
              <w:rPr>
                <w:b w:val="false"/>
                <w:bCs w:val="false"/>
                <w:color w:val="1F1F1F"/>
                <w:sz w:val="20"/>
                <w:szCs w:val="20"/>
              </w:rPr>
              <w:t xml:space="preserve">DataFrame 컬럼 연산으로 text_length, word_count, kw_* 플래그, keyword_score 생성</w:t>
            </w:r>
          </w:p>
        </w:tc>
        <w:tc>
          <w:tcPr>
            <w:tcW w:type="dxa" w:w="3650"/>
            <w:tcMar>
              <w:top w:type="dxa" w:w="100"/>
              <w:left w:type="dxa" w:w="120"/>
              <w:bottom w:type="dxa" w:w="100"/>
              <w:right w:type="dxa" w:w="120"/>
            </w:tcMar>
            <w:vAlign w:val="center"/>
          </w:tcPr>
          <w:p>
            <w:r>
              <w:rPr>
                <w:b w:val="false"/>
                <w:bCs w:val="false"/>
                <w:color w:val="1F1F1F"/>
                <w:sz w:val="20"/>
                <w:szCs w:val="20"/>
              </w:rPr>
              <w:t xml:space="preserve">정형화되지 않은 텍스트에서 모델이 쓸 수 있는 정형 피처를 만들어냄 (cleaner.py)</w:t>
            </w:r>
          </w:p>
        </w:tc>
      </w:tr>
      <w:tr>
        <w:trPr>
          <w:cantSplit/>
        </w:trPr>
        <w:tc>
          <w:tcPr>
            <w:tcW w:type="dxa" w:w="1500"/>
            <w:tcMar>
              <w:top w:type="dxa" w:w="100"/>
              <w:left w:type="dxa" w:w="120"/>
              <w:bottom w:type="dxa" w:w="100"/>
              <w:right w:type="dxa" w:w="120"/>
            </w:tcMar>
            <w:vAlign w:val="center"/>
          </w:tcPr>
          <w:p>
            <w:r>
              <w:rPr>
                <w:b w:val="false"/>
                <w:bCs w:val="false"/>
                <w:color w:val="1F1F1F"/>
                <w:sz w:val="20"/>
                <w:szCs w:val="20"/>
              </w:rPr>
              <w:t xml:space="preserve">수치 정규화/클리핑</w:t>
            </w:r>
          </w:p>
        </w:tc>
        <w:tc>
          <w:tcPr>
            <w:tcW w:type="dxa" w:w="4200"/>
            <w:tcMar>
              <w:top w:type="dxa" w:w="100"/>
              <w:left w:type="dxa" w:w="120"/>
              <w:bottom w:type="dxa" w:w="100"/>
              <w:right w:type="dxa" w:w="120"/>
            </w:tcMar>
            <w:vAlign w:val="center"/>
          </w:tcPr>
          <w:p>
            <w:r>
              <w:rPr>
                <w:b w:val="false"/>
                <w:bCs w:val="false"/>
                <w:color w:val="1F1F1F"/>
                <w:sz w:val="20"/>
                <w:szCs w:val="20"/>
              </w:rPr>
              <w:t xml:space="preserve">np.clip</w:t>
            </w:r>
          </w:p>
        </w:tc>
        <w:tc>
          <w:tcPr>
            <w:tcW w:type="dxa" w:w="3650"/>
            <w:tcMar>
              <w:top w:type="dxa" w:w="100"/>
              <w:left w:type="dxa" w:w="120"/>
              <w:bottom w:type="dxa" w:w="100"/>
              <w:right w:type="dxa" w:w="120"/>
            </w:tcMar>
            <w:vAlign w:val="center"/>
          </w:tcPr>
          <w:p>
            <w:r>
              <w:rPr>
                <w:b w:val="false"/>
                <w:bCs w:val="false"/>
                <w:color w:val="1F1F1F"/>
                <w:sz w:val="20"/>
                <w:szCs w:val="20"/>
              </w:rPr>
              <w:t xml:space="preserve">text_length/200, word_count/40 비율을 0~3 범위로 제한해 이상치 영향 최소화 (cleaner.py)</w:t>
            </w:r>
          </w:p>
        </w:tc>
      </w:tr>
      <w:tr>
        <w:trPr>
          <w:cantSplit/>
        </w:trPr>
        <w:tc>
          <w:tcPr>
            <w:tcW w:type="dxa" w:w="1500"/>
            <w:tcMar>
              <w:top w:type="dxa" w:w="100"/>
              <w:left w:type="dxa" w:w="120"/>
              <w:bottom w:type="dxa" w:w="100"/>
              <w:right w:type="dxa" w:w="120"/>
            </w:tcMar>
            <w:vAlign w:val="center"/>
          </w:tcPr>
          <w:p>
            <w:r>
              <w:rPr>
                <w:b w:val="false"/>
                <w:bCs w:val="false"/>
                <w:color w:val="1F1F1F"/>
                <w:sz w:val="20"/>
                <w:szCs w:val="20"/>
              </w:rPr>
              <w:t xml:space="preserve">피처 행렬 결합</w:t>
            </w:r>
          </w:p>
        </w:tc>
        <w:tc>
          <w:tcPr>
            <w:tcW w:type="dxa" w:w="4200"/>
            <w:tcMar>
              <w:top w:type="dxa" w:w="100"/>
              <w:left w:type="dxa" w:w="120"/>
              <w:bottom w:type="dxa" w:w="100"/>
              <w:right w:type="dxa" w:w="120"/>
            </w:tcMar>
            <w:vAlign w:val="center"/>
          </w:tcPr>
          <w:p>
            <w:r>
              <w:rPr>
                <w:b w:val="false"/>
                <w:bCs w:val="false"/>
                <w:color w:val="1F1F1F"/>
                <w:sz w:val="20"/>
                <w:szCs w:val="20"/>
              </w:rPr>
              <w:t xml:space="preserve">np.column_stack</w:t>
            </w:r>
          </w:p>
        </w:tc>
        <w:tc>
          <w:tcPr>
            <w:tcW w:type="dxa" w:w="3650"/>
            <w:tcMar>
              <w:top w:type="dxa" w:w="100"/>
              <w:left w:type="dxa" w:w="120"/>
              <w:bottom w:type="dxa" w:w="100"/>
              <w:right w:type="dxa" w:w="120"/>
            </w:tcMar>
            <w:vAlign w:val="center"/>
          </w:tcPr>
          <w:p>
            <w:r>
              <w:rPr>
                <w:b w:val="false"/>
                <w:bCs w:val="false"/>
                <w:color w:val="1F1F1F"/>
                <w:sz w:val="20"/>
                <w:szCs w:val="20"/>
              </w:rPr>
              <w:t xml:space="preserve">여러 파생 수치 피처를 하나의 2차원 배열(피처 행렬)로 결합 (cleaner.py)</w:t>
            </w:r>
          </w:p>
        </w:tc>
      </w:tr>
      <w:tr>
        <w:trPr>
          <w:cantSplit/>
        </w:trPr>
        <w:tc>
          <w:tcPr>
            <w:tcW w:type="dxa" w:w="1500"/>
            <w:tcMar>
              <w:top w:type="dxa" w:w="100"/>
              <w:left w:type="dxa" w:w="120"/>
              <w:bottom w:type="dxa" w:w="100"/>
              <w:right w:type="dxa" w:w="120"/>
            </w:tcMar>
            <w:vAlign w:val="center"/>
          </w:tcPr>
          <w:p>
            <w:r>
              <w:rPr>
                <w:b w:val="false"/>
                <w:bCs w:val="false"/>
                <w:color w:val="1F1F1F"/>
                <w:sz w:val="20"/>
                <w:szCs w:val="20"/>
              </w:rPr>
              <w:t xml:space="preserve">희소행렬 결합</w:t>
            </w:r>
          </w:p>
        </w:tc>
        <w:tc>
          <w:tcPr>
            <w:tcW w:type="dxa" w:w="4200"/>
            <w:tcMar>
              <w:top w:type="dxa" w:w="100"/>
              <w:left w:type="dxa" w:w="120"/>
              <w:bottom w:type="dxa" w:w="100"/>
              <w:right w:type="dxa" w:w="120"/>
            </w:tcMar>
            <w:vAlign w:val="center"/>
          </w:tcPr>
          <w:p>
            <w:r>
              <w:rPr>
                <w:b w:val="false"/>
                <w:bCs w:val="false"/>
                <w:color w:val="1F1F1F"/>
                <w:sz w:val="20"/>
                <w:szCs w:val="20"/>
              </w:rPr>
              <w:t xml:space="preserve">scipy.sparse.hstack, csr_matrix (NumPy 기반 SciPy 연산)</w:t>
            </w:r>
          </w:p>
        </w:tc>
        <w:tc>
          <w:tcPr>
            <w:tcW w:type="dxa" w:w="3650"/>
            <w:tcMar>
              <w:top w:type="dxa" w:w="100"/>
              <w:left w:type="dxa" w:w="120"/>
              <w:bottom w:type="dxa" w:w="100"/>
              <w:right w:type="dxa" w:w="120"/>
            </w:tcMar>
            <w:vAlign w:val="center"/>
          </w:tcPr>
          <w:p>
            <w:r>
              <w:rPr>
                <w:b w:val="false"/>
                <w:bCs w:val="false"/>
                <w:color w:val="1F1F1F"/>
                <w:sz w:val="20"/>
                <w:szCs w:val="20"/>
              </w:rPr>
              <w:t xml:space="preserve">TF-IDF 희소행렬 + 수치 피처 행렬을 수평으로 이어 붙여 최종 입력 벡터 생성 (predictor.py)</w:t>
            </w:r>
          </w:p>
        </w:tc>
      </w:tr>
      <w:tr>
        <w:trPr>
          <w:cantSplit/>
        </w:trPr>
        <w:tc>
          <w:tcPr>
            <w:tcW w:type="dxa" w:w="1500"/>
            <w:tcMar>
              <w:top w:type="dxa" w:w="100"/>
              <w:left w:type="dxa" w:w="120"/>
              <w:bottom w:type="dxa" w:w="100"/>
              <w:right w:type="dxa" w:w="120"/>
            </w:tcMar>
            <w:vAlign w:val="center"/>
          </w:tcPr>
          <w:p>
            <w:r>
              <w:rPr>
                <w:b w:val="false"/>
                <w:bCs w:val="false"/>
                <w:color w:val="1F1F1F"/>
                <w:sz w:val="20"/>
                <w:szCs w:val="20"/>
              </w:rPr>
              <w:t xml:space="preserve">최종 점수 클리핑</w:t>
            </w:r>
          </w:p>
        </w:tc>
        <w:tc>
          <w:tcPr>
            <w:tcW w:type="dxa" w:w="4200"/>
            <w:tcMar>
              <w:top w:type="dxa" w:w="100"/>
              <w:left w:type="dxa" w:w="120"/>
              <w:bottom w:type="dxa" w:w="100"/>
              <w:right w:type="dxa" w:w="120"/>
            </w:tcMar>
            <w:vAlign w:val="center"/>
          </w:tcPr>
          <w:p>
            <w:r>
              <w:rPr>
                <w:b w:val="false"/>
                <w:bCs w:val="false"/>
                <w:color w:val="1F1F1F"/>
                <w:sz w:val="20"/>
                <w:szCs w:val="20"/>
              </w:rPr>
              <w:t xml:space="preserve">np.clip(raw_score, 5.0, 97.0)</w:t>
            </w:r>
          </w:p>
        </w:tc>
        <w:tc>
          <w:tcPr>
            <w:tcW w:type="dxa" w:w="3650"/>
            <w:tcMar>
              <w:top w:type="dxa" w:w="100"/>
              <w:left w:type="dxa" w:w="120"/>
              <w:bottom w:type="dxa" w:w="100"/>
              <w:right w:type="dxa" w:w="120"/>
            </w:tcMar>
            <w:vAlign w:val="center"/>
          </w:tcPr>
          <w:p>
            <w:r>
              <w:rPr>
                <w:b w:val="false"/>
                <w:bCs w:val="false"/>
                <w:color w:val="1F1F1F"/>
                <w:sz w:val="20"/>
                <w:szCs w:val="20"/>
              </w:rPr>
              <w:t xml:space="preserve">구제 성공확률이 0%/100% 같은 극단값으로 나오지 않도록 보정 (predictor.py)</w:t>
            </w:r>
          </w:p>
        </w:tc>
      </w:tr>
    </w:tbl>
    <w:p>
      <w:pPr>
        <w:spacing w:after="120"/>
      </w:pPr>
    </w:p>
    <w:p>
      <w:pPr>
        <w:spacing w:after="160" w:line="300"/>
      </w:pPr>
      <w:r>
        <w:rPr>
          <w:sz w:val="21"/>
          <w:szCs w:val="21"/>
        </w:rPr>
        <w:t xml:space="preserve">요약하면 Pandas는 '비정형 원본 CSV → 정제된 표 형태 데이터'로 만드는 데이터 엔지니어링 단계에서, NumPy(및 이를 확장한 SciPy)는 '정제된 텍스트 → 모델이 계산할 수 있는 수치 벡터/행렬'로 바꾸는 피처 엔지니어링 단계에서 각각 핵심적으로 사용된다.</w:t>
      </w:r>
    </w:p>
    <w:p>
      <w:pPr>
        <w:pStyle w:val="Heading1"/>
        <w:pBdr>
          <w:bottom w:val="single" w:color="1F3864" w:sz="6" w:space="4"/>
        </w:pBdr>
        <w:spacing w:after="240" w:before="480"/>
      </w:pPr>
      <w:r>
        <w:rPr>
          <w:b/>
          <w:bCs/>
          <w:color w:val="1F3864"/>
          <w:sz w:val="30"/>
          <w:szCs w:val="30"/>
        </w:rPr>
        <w:t xml:space="preserve">6. 3단계 — 머신러닝 분류 및 유사사례 검색 (predictor.py)</w:t>
      </w:r>
    </w:p>
    <w:p>
      <w:pPr>
        <w:spacing w:after="160" w:line="300"/>
      </w:pPr>
      <w:r>
        <w:rPr>
          <w:sz w:val="21"/>
          <w:szCs w:val="21"/>
        </w:rPr>
        <w:t xml:space="preserve">전처리된 텍스트를 실제로 분류하고 과거 유사 사례를 찾아내는 핵심 추론 엔진이다. 4단계 알고리즘으로 구성된다.</w:t>
      </w:r>
    </w:p>
    <w:p>
      <w:pPr>
        <w:pStyle w:val="Heading2"/>
        <w:spacing w:after="160" w:before="320"/>
      </w:pPr>
      <w:r>
        <w:rPr>
          <w:b/>
          <w:bCs/>
          <w:color w:val="2E74B5"/>
          <w:sz w:val="25"/>
          <w:szCs w:val="25"/>
        </w:rPr>
        <w:t xml:space="preserve">6.1 텍스트 벡터화 — Character n-gram TF-IDF</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TfidfVectorizer(analyzer="char_wb", ngram_range=(2, 4), min_df=1)</w:t>
            </w:r>
          </w:p>
        </w:tc>
      </w:tr>
    </w:tbl>
    <w:p>
      <w:pPr>
        <w:spacing w:after="120" w:line="290"/>
      </w:pPr>
      <w:r>
        <w:rPr>
          <w:b/>
          <w:bCs/>
          <w:color w:val="1F3864"/>
          <w:sz w:val="21"/>
          <w:szCs w:val="21"/>
        </w:rPr>
        <w:t xml:space="preserve">왜 문자 단위인가: </w:t>
      </w:r>
      <w:r>
        <w:rPr>
          <w:sz w:val="21"/>
          <w:szCs w:val="21"/>
        </w:rPr>
        <w:t xml:space="preserve">한국어는 "위약금을/위약금이/위약금은"처럼 조사가 붙어 단어 단위 토큰화 시 같은 의미가 서로 다른 토큰으로 흩어진다. 형태소 분석기(KoNLPy 등)는 이 문제를 정확히 해결할 수 있지만 JVM 의존성 때문에 서버리스(Vercel) 환경에 부적합하다. 이에 조사·어미 변화에 어느 정도 강건한 문자 단위(char_wb) n-gram으로 대체했다.</w:t>
      </w:r>
    </w:p>
    <w:p>
      <w:pPr>
        <w:spacing w:after="160" w:line="300"/>
      </w:pPr>
      <w:r>
        <w:rPr>
          <w:sz w:val="21"/>
          <w:szCs w:val="21"/>
        </w:rPr>
        <w:t xml:space="preserve">단어 경계 안에서 2~4글자 연속 조합을 토큰으로 추출한다. 예: "위약금" → 위약, 약금, 위약금, ' 위약', '약금 ' 등.</w:t>
      </w:r>
    </w:p>
    <w:p>
      <w:pPr>
        <w:spacing w:after="160" w:line="300"/>
      </w:pPr>
      <w:r>
        <w:rPr>
          <w:sz w:val="21"/>
          <w:szCs w:val="21"/>
        </w:rPr>
        <w:t xml:space="preserve">TF-IDF 가중치는 TF(문서 내 등장빈도) × IDF(log(전체 문서수 / 해당 n-gram이 등장한 문서수))로 계산되어, 흔한 조합(조사 관련 등)보다 특이한 조합에 더 큰 가중치를 부여한다.</w:t>
      </w:r>
    </w:p>
    <w:p>
      <w:pPr>
        <w:pStyle w:val="Heading2"/>
        <w:spacing w:after="160" w:before="320"/>
      </w:pPr>
      <w:r>
        <w:rPr>
          <w:b/>
          <w:bCs/>
          <w:color w:val="2E74B5"/>
          <w:sz w:val="25"/>
          <w:szCs w:val="25"/>
        </w:rPr>
        <w:t xml:space="preserve">6.2 피처 결합</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x = hstack([tfidf_matrix, csr_matrix(numeric_features)])</w:t>
            </w:r>
          </w:p>
        </w:tc>
      </w:tr>
    </w:tbl>
    <w:p>
      <w:pPr>
        <w:spacing w:after="160" w:line="300"/>
      </w:pPr>
      <w:r>
        <w:rPr>
          <w:sz w:val="21"/>
          <w:szCs w:val="21"/>
        </w:rPr>
        <w:t xml:space="preserve">TF-IDF 희소벡터(수천 차원) 뒤에 4장에서 만든 수치 피처(길이·단어수·15개 키워드 플래그, 총 18차원)를 수평으로 이어 붙인다. 텍스트의 통계적 패턴뿐 아니라 '환불/위약금 키워드가 실제로 있는가' 같은 명시적 신호도 분류기가 직접 보게 하려는 설계다.</w:t>
      </w:r>
    </w:p>
    <w:p>
      <w:pPr>
        <w:pStyle w:val="Heading2"/>
        <w:spacing w:after="160" w:before="320"/>
      </w:pPr>
      <w:r>
        <w:rPr>
          <w:b/>
          <w:bCs/>
          <w:color w:val="2E74B5"/>
          <w:sz w:val="25"/>
          <w:szCs w:val="25"/>
        </w:rPr>
        <w:t xml:space="preserve">6.3 분류 — Logistic Regression (다중 클래스)</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LogisticRegression(max_iter=3000).fit(x_train, categories)</w:t>
            </w:r>
          </w:p>
        </w:tc>
      </w:tr>
    </w:tbl>
    <w:p>
      <w:pPr>
        <w:pStyle w:val="ListParagraph"/>
        <w:numPr>
          <w:ilvl w:val="0"/>
          <w:numId w:val="2"/>
        </w:numPr>
        <w:spacing w:after="80" w:line="290"/>
      </w:pPr>
      <w:r>
        <w:rPr>
          <w:sz w:val="21"/>
          <w:szCs w:val="21"/>
        </w:rPr>
        <w:t xml:space="preserve">14개 카테고리에 대한 다중 클래스 로지스틱 회귀(scikit-learn 기본: multinomial softmax, lbfgs solver)로 각 카테고리에 속할 확률 P(category|x)를 출력</w:t>
      </w:r>
    </w:p>
    <w:p>
      <w:pPr>
        <w:pStyle w:val="ListParagraph"/>
        <w:numPr>
          <w:ilvl w:val="0"/>
          <w:numId w:val="2"/>
        </w:numPr>
        <w:spacing w:after="80" w:line="290"/>
      </w:pPr>
      <w:r>
        <w:rPr>
          <w:sz w:val="21"/>
          <w:szCs w:val="21"/>
        </w:rPr>
        <w:t xml:space="preserve">predict_proba()의 최댓값 인덱스를 카테고리로, 그 확률값을 confidence로 사용</w:t>
      </w:r>
    </w:p>
    <w:p>
      <w:pPr>
        <w:pStyle w:val="ListParagraph"/>
        <w:numPr>
          <w:ilvl w:val="0"/>
          <w:numId w:val="2"/>
        </w:numPr>
        <w:spacing w:after="80" w:line="290"/>
      </w:pPr>
      <w:r>
        <w:rPr>
          <w:sz w:val="21"/>
          <w:szCs w:val="21"/>
        </w:rPr>
        <w:t xml:space="preserve">세부 dispute_type(예: "중도 해지 위약금 과다 청구")은 라벨 종류가 많고 카테고리당 표본도 적어 별도 분류기를 두지 않고, 유사사례 검색 1위 결과를 그대로 사용</w:t>
      </w:r>
    </w:p>
    <w:p>
      <w:pPr>
        <w:pStyle w:val="Heading2"/>
        <w:spacing w:after="160" w:before="320"/>
      </w:pPr>
      <w:r>
        <w:rPr>
          <w:b/>
          <w:bCs/>
          <w:color w:val="2E74B5"/>
          <w:sz w:val="25"/>
          <w:szCs w:val="25"/>
        </w:rPr>
        <w:t xml:space="preserve">6.4 유사 사례 검색 — 신뢰도 기반 후보군 전환 + Cosine Similarity</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if confidence &gt;= 0.35:</w:t>
            </w:r>
          </w:p>
          <w:p>
            <w:pPr>
              <w:spacing w:after="20"/>
            </w:pPr>
            <w:r>
              <w:rPr>
                <w:rFonts w:ascii="Consolas" w:cs="Consolas" w:eastAsia="Consolas" w:hAnsi="Consolas"/>
                <w:color w:val="1F1F1F"/>
                <w:sz w:val="19"/>
                <w:szCs w:val="19"/>
              </w:rPr>
              <w:t xml:space="preserve">    candidates = 같은 카테고리 전체</w:t>
            </w:r>
          </w:p>
          <w:p>
            <w:pPr>
              <w:spacing w:after="20"/>
            </w:pPr>
            <w:r>
              <w:rPr>
                <w:rFonts w:ascii="Consolas" w:cs="Consolas" w:eastAsia="Consolas" w:hAnsi="Consolas"/>
                <w:color w:val="1F1F1F"/>
                <w:sz w:val="19"/>
                <w:szCs w:val="19"/>
              </w:rPr>
              <w:t xml:space="preserve">else:</w:t>
            </w:r>
          </w:p>
          <w:p>
            <w:pPr>
              <w:spacing w:after="20"/>
            </w:pPr>
            <w:r>
              <w:rPr>
                <w:rFonts w:ascii="Consolas" w:cs="Consolas" w:eastAsia="Consolas" w:hAnsi="Consolas"/>
                <w:color w:val="1F1F1F"/>
                <w:sz w:val="19"/>
                <w:szCs w:val="19"/>
              </w:rPr>
              <w:t xml:space="preserve">    candidates = KMeans 예측 군집 전체</w:t>
            </w:r>
          </w:p>
          <w:p>
            <w:pPr>
              <w:spacing w:after="20"/>
            </w:pPr>
            <w:r>
              <w:rPr>
                <w:rFonts w:ascii="Consolas" w:cs="Consolas" w:eastAsia="Consolas" w:hAnsi="Consolas"/>
                <w:color w:val="1F1F1F"/>
                <w:sz w:val="19"/>
                <w:szCs w:val="19"/>
              </w:rPr>
              <w:t xml:space="preserve">similarity = cosine_similarity(입력벡터, 후보 TF-IDF 행렬)</w:t>
            </w:r>
          </w:p>
          <w:p>
            <w:pPr>
              <w:spacing w:after="20"/>
            </w:pPr>
            <w:r>
              <w:rPr>
                <w:rFonts w:ascii="Consolas" w:cs="Consolas" w:eastAsia="Consolas" w:hAnsi="Consolas"/>
                <w:color w:val="1F1F1F"/>
                <w:sz w:val="19"/>
                <w:szCs w:val="19"/>
              </w:rPr>
              <w:t xml:space="preserve">top3 = 유사도 상위 3건</w:t>
            </w:r>
          </w:p>
        </w:tc>
      </w:tr>
    </w:tbl>
    <w:p>
      <w:pPr>
        <w:pStyle w:val="ListParagraph"/>
        <w:numPr>
          <w:ilvl w:val="0"/>
          <w:numId w:val="2"/>
        </w:numPr>
        <w:spacing w:after="80" w:line="290"/>
      </w:pPr>
      <w:r>
        <w:rPr>
          <w:b/>
          <w:bCs/>
          <w:color w:val="1F3864"/>
          <w:sz w:val="21"/>
          <w:szCs w:val="21"/>
        </w:rPr>
        <w:t xml:space="preserve">confidence ≥ 35%: </w:t>
      </w:r>
      <w:r>
        <w:rPr>
          <w:sz w:val="21"/>
          <w:szCs w:val="21"/>
        </w:rPr>
        <w:t xml:space="preserve">분류기를 신뢰하고 같은 카테고리 내부에서만 코사인 유사도로 검색 (정밀도 우선)</w:t>
      </w:r>
    </w:p>
    <w:p>
      <w:pPr>
        <w:pStyle w:val="ListParagraph"/>
        <w:numPr>
          <w:ilvl w:val="0"/>
          <w:numId w:val="2"/>
        </w:numPr>
        <w:spacing w:after="80" w:line="290"/>
      </w:pPr>
      <w:r>
        <w:rPr>
          <w:b/>
          <w:bCs/>
          <w:color w:val="1F3864"/>
          <w:sz w:val="21"/>
          <w:szCs w:val="21"/>
        </w:rPr>
        <w:t xml:space="preserve">confidence &lt; 35%: </w:t>
      </w:r>
      <w:r>
        <w:rPr>
          <w:sz w:val="21"/>
          <w:szCs w:val="21"/>
        </w:rPr>
        <w:t xml:space="preserve">분류기를 믿지 않고, 미리 KMeans(n_clusters=카테고리수, n_init=10, random_state=42)로 군집화해 둔 군집 전체로 후보를 넓혀 검색 (재현율 우선 — 오분류 시에도 비슷한 사례를 놓치지 않도록 하는 보조 안전망)</w:t>
      </w:r>
    </w:p>
    <w:p>
      <w:pPr>
        <w:spacing w:after="160" w:line="300"/>
      </w:pPr>
      <w:r>
        <w:rPr>
          <w:sz w:val="21"/>
          <w:szCs w:val="21"/>
        </w:rPr>
        <w:t xml:space="preserve">코사인 유사도는 cos(θ) = (A·B)/(|A||B|)로, TF-IDF 벡터 간 방향 유사도만 보기 때문에 텍스트 길이에 영향받지 않고 '어떤 n-gram 조합이 겹치는가'만 반영한다.</w:t>
      </w:r>
    </w:p>
    <w:p>
      <w:pPr>
        <w:pStyle w:val="Heading2"/>
        <w:spacing w:after="160" w:before="320"/>
      </w:pPr>
      <w:r>
        <w:rPr>
          <w:b/>
          <w:bCs/>
          <w:color w:val="2E74B5"/>
          <w:sz w:val="25"/>
          <w:szCs w:val="25"/>
        </w:rPr>
        <w:t xml:space="preserve">6.5 구제 성공확률 산출 — 가중 블렌딩</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success_rate = 0.55 × confidence×100 + 0.45 × (Top-3 유사사례 base_success_rate 평균)</w:t>
            </w:r>
          </w:p>
        </w:tc>
      </w:tr>
    </w:tbl>
    <w:p>
      <w:pPr>
        <w:spacing w:after="160" w:line="300"/>
      </w:pPr>
      <w:r>
        <w:rPr>
          <w:sz w:val="21"/>
          <w:szCs w:val="21"/>
        </w:rPr>
        <w:t xml:space="preserve">분류기의 확신도(confidence)와 실제 과거 사례의 처리결과 근사치(base_success_rate)를 55:45로 블렌딩한다. 순수 분류 확률만 쓰면 '분류는 확신하지만 실제 처리결과는 나쁜 유형'을 반영하지 못하고, 유사사례 평균만 쓰면 분류가 틀렸을 때 엉뚱한 사례 기준이 섞이므로 두 신호를 함께 사용한다.</w:t>
      </w:r>
    </w:p>
    <w:p>
      <w:pPr>
        <w:pStyle w:val="Heading2"/>
        <w:spacing w:after="160" w:before="320"/>
      </w:pPr>
      <w:r>
        <w:rPr>
          <w:b/>
          <w:bCs/>
          <w:color w:val="2E74B5"/>
          <w:sz w:val="25"/>
          <w:szCs w:val="25"/>
        </w:rPr>
        <w:t xml:space="preserve">6.6 모델 캐싱 (joblib)</w:t>
      </w:r>
    </w:p>
    <w:p>
      <w:pPr>
        <w:spacing w:after="160" w:line="300"/>
      </w:pPr>
      <w:r>
        <w:rPr>
          <w:sz w:val="21"/>
          <w:szCs w:val="21"/>
        </w:rPr>
        <w:t xml:space="preserve">Vercel 서버리스 특성상 subprocess로 매 요청마다 새 프로세스가 뜨는 구조라, 매번 재학습하면 약 7초가 소요된다. 이를 방지하기 위해 학습된 벡터라이저·분류기·K-Means를 joblib으로 _model_cache.joblib에 캐시하고, 케이스뱅크의 수정시각(mtime)과 건수를 캐시 키로 사용해 데이터가 실제로 바뀔 때만 재학습한다.</w:t>
      </w:r>
    </w:p>
    <w:p>
      <w:pPr>
        <w:spacing w:after="60"/>
      </w:pPr>
    </w:p>
    <w:tbl>
      <w:tblPr>
        <w:tblW w:type="dxa" w:w="9350"/>
        <w:tblBorders>
          <w:top w:val="single" w:color="2E74B5" w:sz="4"/>
          <w:left w:val="single" w:color="2E74B5" w:sz="24"/>
          <w:bottom w:val="single" w:color="2E74B5" w:sz="4"/>
          <w:right w:val="single" w:color="2E74B5" w:sz="4"/>
          <w:insideH w:val="none" w:color="FFFFFF" w:sz="0"/>
          <w:insideV w:val="none" w:color="FFFFFF" w:sz="0"/>
        </w:tblBorders>
      </w:tblPr>
      <w:tblGrid>
        <w:gridCol w:w="9350"/>
      </w:tblGrid>
      <w:tr>
        <w:tc>
          <w:tcPr>
            <w:tcW w:type="dxa" w:w="9350"/>
            <w:shd w:fill="EAF1F8" w:val="clear"/>
            <w:tcMar>
              <w:top w:type="dxa" w:w="140"/>
              <w:left w:type="dxa" w:w="220"/>
              <w:bottom w:type="dxa" w:w="140"/>
              <w:right w:type="dxa" w:w="220"/>
            </w:tcMar>
          </w:tcPr>
          <w:p>
            <w:pPr>
              <w:spacing w:after="60"/>
            </w:pPr>
            <w:r>
              <w:rPr>
                <w:b/>
                <w:bCs/>
                <w:color w:val="1F3864"/>
                <w:sz w:val="21"/>
                <w:szCs w:val="21"/>
              </w:rPr>
              <w:t xml:space="preserve">6장 정리</w:t>
            </w:r>
          </w:p>
          <w:p>
            <w:pPr>
              <w:spacing w:after="40" w:line="280"/>
            </w:pPr>
            <w:r>
              <w:rPr>
                <w:sz w:val="20"/>
                <w:szCs w:val="20"/>
              </w:rPr>
              <w:t xml:space="preserve">통계적 지도학습(로지스틱 회귀)과 비지도학습(K-Means)을 confidence 임계값(0.35)으로 스위칭하며 결합하고, 최종 점수는 '분류기 확신도'와 '과거 사례 실측 근사치'의 가중평균이라는 것이 이 엔진의 핵심 구조다.</w:t>
            </w:r>
          </w:p>
          <w:p>
            <w:pPr>
              <w:spacing w:after="40" w:line="280"/>
            </w:pPr>
            <w:r>
              <w:rPr>
                <w:sz w:val="20"/>
                <w:szCs w:val="20"/>
              </w:rPr>
              <w:t xml:space="preserve">※ 참고: 사용자가 폼에서 직접 고른 카테고리는 결과 JSON의 input.category_hint에 참고용으로만 저장될 뿐, 실제 분류·유사사례 검색 로직에는 입력되지 않는다 (알려진 한계, 11장 참고).</w:t>
            </w:r>
          </w:p>
        </w:tc>
      </w:tr>
    </w:tbl>
    <w:p>
      <w:pPr>
        <w:pStyle w:val="Heading1"/>
        <w:pBdr>
          <w:bottom w:val="single" w:color="1F3864" w:sz="6" w:space="4"/>
        </w:pBdr>
        <w:spacing w:after="240" w:before="480"/>
      </w:pPr>
      <w:r>
        <w:rPr>
          <w:b/>
          <w:bCs/>
          <w:color w:val="1F3864"/>
          <w:sz w:val="30"/>
          <w:szCs w:val="30"/>
        </w:rPr>
        <w:t xml:space="preserve">7. 4단계 — RAG(법령 지식베이스 검색) 파이프라인</w:t>
      </w:r>
    </w:p>
    <w:p>
      <w:pPr>
        <w:spacing w:after="160" w:line="300"/>
      </w:pPr>
      <w:r>
        <w:rPr>
          <w:sz w:val="21"/>
          <w:szCs w:val="21"/>
        </w:rPr>
        <w:t xml:space="preserve">기존 Scikit-learn 유사사례 검색만으로는 법적 근거의 신뢰도가 부족하기 때문에, 공정거래위원회 고시 '소비자분쟁해결기준' 및 관련 법률(전자상거래법, 약관규제법 등) 조항 원문을 실시간 검색·주입하는 경량 RAG(Retrieval-Augmented Generation) 엔진을 별도로 구축했다.</w:t>
      </w:r>
    </w:p>
    <w:p>
      <w:pPr>
        <w:pStyle w:val="Heading2"/>
        <w:spacing w:after="160" w:before="320"/>
      </w:pPr>
      <w:r>
        <w:rPr>
          <w:b/>
          <w:bCs/>
          <w:color w:val="2E74B5"/>
          <w:sz w:val="25"/>
          <w:szCs w:val="25"/>
        </w:rPr>
        <w:t xml:space="preserve">7.1 설계 목표</w:t>
      </w:r>
    </w:p>
    <w:p>
      <w:pPr>
        <w:pStyle w:val="ListParagraph"/>
        <w:numPr>
          <w:ilvl w:val="0"/>
          <w:numId w:val="2"/>
        </w:numPr>
        <w:spacing w:after="80" w:line="290"/>
      </w:pPr>
      <w:r>
        <w:rPr>
          <w:sz w:val="21"/>
          <w:szCs w:val="21"/>
        </w:rPr>
        <w:t xml:space="preserve">외부 법령 Open API 연동 없이 로컬 사전 구축 JSON 벡터 지식베이스(Offline Pre-indexed KB)로 초고속 응답과 서버리스 환경 최적화 달성</w:t>
      </w:r>
    </w:p>
    <w:p>
      <w:pPr>
        <w:pStyle w:val="ListParagraph"/>
        <w:numPr>
          <w:ilvl w:val="0"/>
          <w:numId w:val="2"/>
        </w:numPr>
        <w:spacing w:after="80" w:line="290"/>
      </w:pPr>
      <w:r>
        <w:rPr>
          <w:sz w:val="21"/>
          <w:szCs w:val="21"/>
        </w:rPr>
        <w:t xml:space="preserve">LLM이 법령을 '상상'(hallucination)하지 않고 실제 검색된 조항만 인용하도록 근거를 제공</w:t>
      </w:r>
    </w:p>
    <w:p>
      <w:pPr>
        <w:pStyle w:val="Heading2"/>
        <w:spacing w:after="160" w:before="320"/>
      </w:pPr>
      <w:r>
        <w:rPr>
          <w:b/>
          <w:bCs/>
          <w:color w:val="2E74B5"/>
          <w:sz w:val="25"/>
          <w:szCs w:val="25"/>
        </w:rPr>
        <w:t xml:space="preserve">7.2 지식베이스 구축 (오프라인 1회 빌드)</w:t>
      </w:r>
    </w:p>
    <w:p>
      <w:pPr>
        <w:spacing w:after="160" w:line="300"/>
      </w:pPr>
      <w:r>
        <w:rPr>
          <w:sz w:val="21"/>
          <w:szCs w:val="21"/>
        </w:rPr>
        <w:t xml:space="preserve">lib/knowledge_base/legal_kb.json에 14개 업종 + 일반(cross-cutting) 조항, 총 42개 청크를 정의한다. 각 청크는 다음 스키마를 따른다.</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w:t>
            </w:r>
          </w:p>
          <w:p>
            <w:pPr>
              <w:spacing w:after="20"/>
            </w:pPr>
            <w:r>
              <w:rPr>
                <w:rFonts w:ascii="Consolas" w:cs="Consolas" w:eastAsia="Consolas" w:hAnsi="Consolas"/>
                <w:color w:val="1F1F1F"/>
                <w:sz w:val="19"/>
                <w:szCs w:val="19"/>
              </w:rPr>
              <w:t xml:space="preserve">  "id": "KB_FITNESS_01",</w:t>
            </w:r>
          </w:p>
          <w:p>
            <w:pPr>
              <w:spacing w:after="20"/>
            </w:pPr>
            <w:r>
              <w:rPr>
                <w:rFonts w:ascii="Consolas" w:cs="Consolas" w:eastAsia="Consolas" w:hAnsi="Consolas"/>
                <w:color w:val="1F1F1F"/>
                <w:sz w:val="19"/>
                <w:szCs w:val="19"/>
              </w:rPr>
              <w:t xml:space="preserve">  "category": "체육시설/헬스장",</w:t>
            </w:r>
          </w:p>
          <w:p>
            <w:pPr>
              <w:spacing w:after="20"/>
            </w:pPr>
            <w:r>
              <w:rPr>
                <w:rFonts w:ascii="Consolas" w:cs="Consolas" w:eastAsia="Consolas" w:hAnsi="Consolas"/>
                <w:color w:val="1F1F1F"/>
                <w:sz w:val="19"/>
                <w:szCs w:val="19"/>
              </w:rPr>
              <w:t xml:space="preserve">  "topic": "중도 해지 위약금 및 환급 기준",</w:t>
            </w:r>
          </w:p>
          <w:p>
            <w:pPr>
              <w:spacing w:after="20"/>
            </w:pPr>
            <w:r>
              <w:rPr>
                <w:rFonts w:ascii="Consolas" w:cs="Consolas" w:eastAsia="Consolas" w:hAnsi="Consolas"/>
                <w:color w:val="1F1F1F"/>
                <w:sz w:val="19"/>
                <w:szCs w:val="19"/>
              </w:rPr>
              <w:t xml:space="preserve">  "law_name": "소비자분쟁해결기준 별표 II (체육시설업)",</w:t>
            </w:r>
          </w:p>
          <w:p>
            <w:pPr>
              <w:spacing w:after="20"/>
            </w:pPr>
            <w:r>
              <w:rPr>
                <w:rFonts w:ascii="Consolas" w:cs="Consolas" w:eastAsia="Consolas" w:hAnsi="Consolas"/>
                <w:color w:val="1F1F1F"/>
                <w:sz w:val="19"/>
                <w:szCs w:val="19"/>
              </w:rPr>
              <w:t xml:space="preserve">  "clause_summary": "...",</w:t>
            </w:r>
          </w:p>
          <w:p>
            <w:pPr>
              <w:spacing w:after="20"/>
            </w:pPr>
            <w:r>
              <w:rPr>
                <w:rFonts w:ascii="Consolas" w:cs="Consolas" w:eastAsia="Consolas" w:hAnsi="Consolas"/>
                <w:color w:val="1F1F1F"/>
                <w:sz w:val="19"/>
                <w:szCs w:val="19"/>
              </w:rPr>
              <w:t xml:space="preserve">  "refund_formula": "총결제액 - (일일이용료 × 사용일수) - (총결제액 × 10%)",</w:t>
            </w:r>
          </w:p>
          <w:p>
            <w:pPr>
              <w:spacing w:after="20"/>
            </w:pPr>
            <w:r>
              <w:rPr>
                <w:rFonts w:ascii="Consolas" w:cs="Consolas" w:eastAsia="Consolas" w:hAnsi="Consolas"/>
                <w:color w:val="1F1F1F"/>
                <w:sz w:val="19"/>
                <w:szCs w:val="19"/>
              </w:rPr>
              <w:t xml:space="preserve">  "keywords": ["헬스장", "피트니스", "중도해지", "위약금", "환불"]</w:t>
            </w:r>
          </w:p>
          <w:p>
            <w:pPr>
              <w:spacing w:after="20"/>
            </w:pPr>
            <w:r>
              <w:rPr>
                <w:rFonts w:ascii="Consolas" w:cs="Consolas" w:eastAsia="Consolas" w:hAnsi="Consolas"/>
                <w:color w:val="1F1F1F"/>
                <w:sz w:val="19"/>
                <w:szCs w:val="19"/>
              </w:rPr>
              <w:t xml:space="preserve">}</w:t>
            </w:r>
          </w:p>
        </w:tc>
      </w:tr>
    </w:tbl>
    <w:p>
      <w:pPr>
        <w:spacing w:after="160" w:line="300"/>
      </w:pPr>
      <w:r>
        <w:rPr>
          <w:sz w:val="21"/>
          <w:szCs w:val="21"/>
        </w:rPr>
        <w:t xml:space="preserve">scripts/build_legal_kb.py가 각 청크를 OpenAI text-embedding-3-small로 1회 임베딩해 lib/knowledge_base/legal_kb_embedded.json(빌드 산출물, 저장소에 커밋됨)으로 저장한다. 법령 개정 등으로 legal_kb.json을 수정하면 이 스크립트를 재실행해야 한다. 로컬 1회성 개발 도구라 Vercel Python 함수 번들(api/requirements.txt)에는 포함하지 않는다.</w:t>
      </w:r>
    </w:p>
    <w:p>
      <w:pPr>
        <w:pStyle w:val="Heading2"/>
        <w:spacing w:after="160" w:before="320"/>
      </w:pPr>
      <w:r>
        <w:rPr>
          <w:b/>
          <w:bCs/>
          <w:color w:val="2E74B5"/>
          <w:sz w:val="25"/>
          <w:szCs w:val="25"/>
        </w:rPr>
        <w:t xml:space="preserve">7.3 런타임 검색 — 하이브리드 검색 (lib/legalSearch.ts)</w:t>
      </w:r>
    </w:p>
    <w:p>
      <w:pPr>
        <w:spacing w:after="160" w:line="300"/>
      </w:pPr>
      <w:r>
        <w:rPr>
          <w:sz w:val="21"/>
          <w:szCs w:val="21"/>
        </w:rPr>
        <w:t xml:space="preserve">사용자 상담 텍스트를 쿼리 임베딩한 뒤, 사전 임베딩된 42개 청크와 다음 세 가지 신호를 결합한 하이브리드 검색으로 Top-2 조항을 반환한다.</w:t>
      </w:r>
    </w:p>
    <w:p>
      <w:pPr>
        <w:pStyle w:val="ListParagraph"/>
        <w:numPr>
          <w:ilvl w:val="0"/>
          <w:numId w:val="2"/>
        </w:numPr>
        <w:spacing w:after="80" w:line="290"/>
      </w:pPr>
      <w:r>
        <w:rPr>
          <w:b/>
          <w:bCs/>
          <w:color w:val="1F3864"/>
          <w:sz w:val="21"/>
          <w:szCs w:val="21"/>
        </w:rPr>
        <w:t xml:space="preserve">① 코사인 유사도: </w:t>
      </w:r>
      <w:r>
        <w:rPr>
          <w:sz w:val="21"/>
          <w:szCs w:val="21"/>
        </w:rPr>
        <w:t xml:space="preserve">쿼리 임베딩과 각 조항 임베딩 간 방향 유사도</w:t>
      </w:r>
    </w:p>
    <w:p>
      <w:pPr>
        <w:pStyle w:val="ListParagraph"/>
        <w:numPr>
          <w:ilvl w:val="0"/>
          <w:numId w:val="2"/>
        </w:numPr>
        <w:spacing w:after="80" w:line="290"/>
      </w:pPr>
      <w:r>
        <w:rPr>
          <w:b/>
          <w:bCs/>
          <w:color w:val="1F3864"/>
          <w:sz w:val="21"/>
          <w:szCs w:val="21"/>
        </w:rPr>
        <w:t xml:space="preserve">② 카테고리 일치 가중치: </w:t>
      </w:r>
      <w:r>
        <w:rPr>
          <w:sz w:val="21"/>
          <w:szCs w:val="21"/>
        </w:rPr>
        <w:t xml:space="preserve">ML 예측 카테고리와 조항의 category가 일치하면 가중치 부여</w:t>
      </w:r>
    </w:p>
    <w:p>
      <w:pPr>
        <w:pStyle w:val="ListParagraph"/>
        <w:numPr>
          <w:ilvl w:val="0"/>
          <w:numId w:val="2"/>
        </w:numPr>
        <w:spacing w:after="80" w:line="290"/>
      </w:pPr>
      <w:r>
        <w:rPr>
          <w:b/>
          <w:bCs/>
          <w:color w:val="1F3864"/>
          <w:sz w:val="21"/>
          <w:szCs w:val="21"/>
        </w:rPr>
        <w:t xml:space="preserve">③ 키워드 매칭 가중치: </w:t>
      </w:r>
      <w:r>
        <w:rPr>
          <w:sz w:val="21"/>
          <w:szCs w:val="21"/>
        </w:rPr>
        <w:t xml:space="preserve">조항의 keywords 필드와 입력 텍스트의 명시적 단어 일치 시 추가 가중치</w:t>
      </w:r>
    </w:p>
    <w:p>
      <w:pPr>
        <w:spacing w:after="160" w:line="300"/>
      </w:pPr>
      <w:r>
        <w:rPr>
          <w:sz w:val="21"/>
          <w:szCs w:val="21"/>
        </w:rPr>
        <w:t xml:space="preserve">순수 코사인 유사도만 쓰면 "천재지변" 같은 명시적 키워드가 있는 조항이 무관한 조항보다 낮은 순위로 밀리는 사례가 실제로 관측되어, 키워드 가중치를 추가로 도입했다. 이는 임베딩 기반 의미 검색과 전통적 키워드 검색을 결합한 전형적인 하이브리드 검색(Hybrid Search) 설계다.</w:t>
      </w:r>
    </w:p>
    <w:p>
      <w:pPr>
        <w:pStyle w:val="Heading2"/>
        <w:spacing w:after="160" w:before="320"/>
      </w:pPr>
      <w:r>
        <w:rPr>
          <w:b/>
          <w:bCs/>
          <w:color w:val="2E74B5"/>
          <w:sz w:val="25"/>
          <w:szCs w:val="25"/>
        </w:rPr>
        <w:t xml:space="preserve">7.4 무중단 폴백</w:t>
      </w:r>
    </w:p>
    <w:p>
      <w:pPr>
        <w:spacing w:after="160" w:line="300"/>
      </w:pPr>
      <w:r>
        <w:rPr>
          <w:sz w:val="21"/>
          <w:szCs w:val="21"/>
        </w:rPr>
        <w:t xml:space="preserve">지식베이스 미빌드, OPENAI_API_KEY 없음, 또는 임베딩 API 실패 시 legalSearch.ts는 null을 반환하고, 호출부는 기존 정적 legalKnowledge.ts 기반 동작으로 무중단 폴백한다. 이 설계 덕분에 RAG 구성요소 장애가 서비스 전체 장애로 번지지 않는다.</w:t>
      </w:r>
    </w:p>
    <w:p>
      <w:pPr>
        <w:pStyle w:val="Heading1"/>
        <w:pBdr>
          <w:bottom w:val="single" w:color="1F3864" w:sz="6" w:space="4"/>
        </w:pBdr>
        <w:spacing w:after="240" w:before="480"/>
      </w:pPr>
      <w:r>
        <w:rPr>
          <w:b/>
          <w:bCs/>
          <w:color w:val="1F3864"/>
          <w:sz w:val="30"/>
          <w:szCs w:val="30"/>
        </w:rPr>
        <w:t xml:space="preserve">8. 5단계 — LLM Agent 활용 (GPT-4o-mini)</w:t>
      </w:r>
    </w:p>
    <w:p>
      <w:pPr>
        <w:spacing w:after="160" w:line="300"/>
      </w:pPr>
      <w:r>
        <w:rPr>
          <w:sz w:val="21"/>
          <w:szCs w:val="21"/>
        </w:rPr>
        <w:t xml:space="preserve">app/api/agent/route.ts에서 ML 추론 결과와 RAG 검색 결과를 종합해 최종 인사이트 리포트를 생성하는 단계다.</w:t>
      </w:r>
    </w:p>
    <w:p>
      <w:pPr>
        <w:pStyle w:val="Heading2"/>
        <w:spacing w:after="160" w:before="320"/>
      </w:pPr>
      <w:r>
        <w:rPr>
          <w:b/>
          <w:bCs/>
          <w:color w:val="2E74B5"/>
          <w:sz w:val="25"/>
          <w:szCs w:val="25"/>
        </w:rPr>
        <w:t xml:space="preserve">8.1 컨텍스트 구성 및 프롬프트 주입</w:t>
      </w:r>
    </w:p>
    <w:p>
      <w:pPr>
        <w:spacing w:after="160" w:line="300"/>
      </w:pPr>
      <w:r>
        <w:rPr>
          <w:sz w:val="21"/>
          <w:szCs w:val="21"/>
        </w:rPr>
        <w:t xml:space="preserve">검색된 법령 조항을 [REFERENCE LEGAL CONTEXT] 섹션으로 시스템/유저 프롬프트에 주입한다. LLM에게 전달되는 컨텍스트는 다음 세 가지로 구성된다.</w:t>
      </w:r>
    </w:p>
    <w:p>
      <w:pPr>
        <w:pStyle w:val="ListParagraph"/>
        <w:numPr>
          <w:ilvl w:val="0"/>
          <w:numId w:val="2"/>
        </w:numPr>
        <w:spacing w:after="80" w:line="290"/>
      </w:pPr>
      <w:r>
        <w:rPr>
          <w:sz w:val="21"/>
          <w:szCs w:val="21"/>
        </w:rPr>
        <w:t xml:space="preserve">ML 예측 결과 (category, dispute_type, success_rate, confidence)</w:t>
      </w:r>
    </w:p>
    <w:p>
      <w:pPr>
        <w:pStyle w:val="ListParagraph"/>
        <w:numPr>
          <w:ilvl w:val="0"/>
          <w:numId w:val="2"/>
        </w:numPr>
        <w:spacing w:after="80" w:line="290"/>
      </w:pPr>
      <w:r>
        <w:rPr>
          <w:sz w:val="21"/>
          <w:szCs w:val="21"/>
        </w:rPr>
        <w:t xml:space="preserve">RAG 검색 법적 조항 원문(law_name, clause_summary, refund_formula)</w:t>
      </w:r>
    </w:p>
    <w:p>
      <w:pPr>
        <w:pStyle w:val="ListParagraph"/>
        <w:numPr>
          <w:ilvl w:val="0"/>
          <w:numId w:val="2"/>
        </w:numPr>
        <w:spacing w:after="80" w:line="290"/>
      </w:pPr>
      <w:r>
        <w:rPr>
          <w:sz w:val="21"/>
          <w:szCs w:val="21"/>
        </w:rPr>
        <w:t xml:space="preserve">과거 유사 판례 사례(Top-3)</w:t>
      </w:r>
    </w:p>
    <w:p>
      <w:pPr>
        <w:pStyle w:val="Heading2"/>
        <w:spacing w:after="160" w:before="320"/>
      </w:pPr>
      <w:r>
        <w:rPr>
          <w:b/>
          <w:bCs/>
          <w:color w:val="2E74B5"/>
          <w:sz w:val="25"/>
          <w:szCs w:val="25"/>
        </w:rPr>
        <w:t xml:space="preserve">8.2 Structured JSON Output</w:t>
      </w:r>
    </w:p>
    <w:p>
      <w:pPr>
        <w:spacing w:after="160" w:line="300"/>
      </w:pPr>
      <w:r>
        <w:rPr>
          <w:sz w:val="21"/>
          <w:szCs w:val="21"/>
        </w:rPr>
        <w:t xml:space="preserve">GPT-4o-mini를 Structured JSON Output 모드, temperature 0.2로 호출해 다음과 같은 고정 스키마의 JSON을 생성한다.</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w:t>
            </w:r>
          </w:p>
          <w:p>
            <w:pPr>
              <w:spacing w:after="20"/>
            </w:pPr>
            <w:r>
              <w:rPr>
                <w:rFonts w:ascii="Consolas" w:cs="Consolas" w:eastAsia="Consolas" w:hAnsi="Consolas"/>
                <w:color w:val="1F1F1F"/>
                <w:sz w:val="19"/>
                <w:szCs w:val="19"/>
              </w:rPr>
              <w:t xml:space="preserve">  "category": "체육시설/헬스장",</w:t>
            </w:r>
          </w:p>
          <w:p>
            <w:pPr>
              <w:spacing w:after="20"/>
            </w:pPr>
            <w:r>
              <w:rPr>
                <w:rFonts w:ascii="Consolas" w:cs="Consolas" w:eastAsia="Consolas" w:hAnsi="Consolas"/>
                <w:color w:val="1F1F1F"/>
                <w:sz w:val="19"/>
                <w:szCs w:val="19"/>
              </w:rPr>
              <w:t xml:space="preserve">  "dispute_type": "중도 해지 위약금 과다 청구",</w:t>
            </w:r>
          </w:p>
          <w:p>
            <w:pPr>
              <w:spacing w:after="20"/>
            </w:pPr>
            <w:r>
              <w:rPr>
                <w:rFonts w:ascii="Consolas" w:cs="Consolas" w:eastAsia="Consolas" w:hAnsi="Consolas"/>
                <w:color w:val="1F1F1F"/>
                <w:sz w:val="19"/>
                <w:szCs w:val="19"/>
              </w:rPr>
              <w:t xml:space="preserve">  "success_rate": 84.5,</w:t>
            </w:r>
          </w:p>
          <w:p>
            <w:pPr>
              <w:spacing w:after="20"/>
            </w:pPr>
            <w:r>
              <w:rPr>
                <w:rFonts w:ascii="Consolas" w:cs="Consolas" w:eastAsia="Consolas" w:hAnsi="Consolas"/>
                <w:color w:val="1F1F1F"/>
                <w:sz w:val="19"/>
                <w:szCs w:val="19"/>
              </w:rPr>
              <w:t xml:space="preserve">  "legal_basis": "...",</w:t>
            </w:r>
          </w:p>
          <w:p>
            <w:pPr>
              <w:spacing w:after="20"/>
            </w:pPr>
            <w:r>
              <w:rPr>
                <w:rFonts w:ascii="Consolas" w:cs="Consolas" w:eastAsia="Consolas" w:hAnsi="Consolas"/>
                <w:color w:val="1F1F1F"/>
                <w:sz w:val="19"/>
                <w:szCs w:val="19"/>
              </w:rPr>
              <w:t xml:space="preserve">  "referenced_clauses": [ { "law_name": "...", "clause_content": "...", "formula": "..." } ],</w:t>
            </w:r>
          </w:p>
          <w:p>
            <w:pPr>
              <w:spacing w:after="20"/>
            </w:pPr>
            <w:r>
              <w:rPr>
                <w:rFonts w:ascii="Consolas" w:cs="Consolas" w:eastAsia="Consolas" w:hAnsi="Consolas"/>
                <w:color w:val="1F1F1F"/>
                <w:sz w:val="19"/>
                <w:szCs w:val="19"/>
              </w:rPr>
              <w:t xml:space="preserve">  "estimated_refund": "결제금액의 약 75~80%",</w:t>
            </w:r>
          </w:p>
          <w:p>
            <w:pPr>
              <w:spacing w:after="20"/>
            </w:pPr>
            <w:r>
              <w:rPr>
                <w:rFonts w:ascii="Consolas" w:cs="Consolas" w:eastAsia="Consolas" w:hAnsi="Consolas"/>
                <w:color w:val="1F1F1F"/>
                <w:sz w:val="19"/>
                <w:szCs w:val="19"/>
              </w:rPr>
              <w:t xml:space="preserve">  "action_plan": ["1단계: ...", "2단계: ...", "3단계: ..."],</w:t>
            </w:r>
          </w:p>
          <w:p>
            <w:pPr>
              <w:spacing w:after="20"/>
            </w:pPr>
            <w:r>
              <w:rPr>
                <w:rFonts w:ascii="Consolas" w:cs="Consolas" w:eastAsia="Consolas" w:hAnsi="Consolas"/>
                <w:color w:val="1F1F1F"/>
                <w:sz w:val="19"/>
                <w:szCs w:val="19"/>
              </w:rPr>
              <w:t xml:space="preserve">  "proof_documents": ["이용 계약서/회원권 약관", "결제 영수증", "..."],</w:t>
            </w:r>
          </w:p>
          <w:p>
            <w:pPr>
              <w:spacing w:after="20"/>
            </w:pPr>
            <w:r>
              <w:rPr>
                <w:rFonts w:ascii="Consolas" w:cs="Consolas" w:eastAsia="Consolas" w:hAnsi="Consolas"/>
                <w:color w:val="1F1F1F"/>
                <w:sz w:val="19"/>
                <w:szCs w:val="19"/>
              </w:rPr>
              <w:t xml:space="preserve">  "notice_letter_template": "수신: [사업자 상호] ..."</w:t>
            </w:r>
          </w:p>
          <w:p>
            <w:pPr>
              <w:spacing w:after="20"/>
            </w:pPr>
            <w:r>
              <w:rPr>
                <w:rFonts w:ascii="Consolas" w:cs="Consolas" w:eastAsia="Consolas" w:hAnsi="Consolas"/>
                <w:color w:val="1F1F1F"/>
                <w:sz w:val="19"/>
                <w:szCs w:val="19"/>
              </w:rPr>
              <w:t xml:space="preserve">}</w:t>
            </w:r>
          </w:p>
        </w:tc>
      </w:tr>
    </w:tbl>
    <w:p>
      <w:pPr>
        <w:spacing w:after="160" w:line="300"/>
      </w:pPr>
      <w:r>
        <w:rPr>
          <w:sz w:val="21"/>
          <w:szCs w:val="21"/>
        </w:rPr>
        <w:t xml:space="preserve">temperature를 낮게(0.2) 설정한 이유는 동일 입력에 대한 실행 간 일관성을 확보하기 위함이며, 실제로 동일 입력에 대해 5회 연속 동일 결과가 확인되었다.</w:t>
      </w:r>
    </w:p>
    <w:p>
      <w:pPr>
        <w:pStyle w:val="Heading2"/>
        <w:spacing w:after="160" w:before="320"/>
      </w:pPr>
      <w:r>
        <w:rPr>
          <w:b/>
          <w:bCs/>
          <w:color w:val="2E74B5"/>
          <w:sz w:val="25"/>
          <w:szCs w:val="25"/>
        </w:rPr>
        <w:t xml:space="preserve">8.3 Hallucination 방지 설계</w:t>
      </w:r>
    </w:p>
    <w:p>
      <w:pPr>
        <w:spacing w:after="160" w:line="300"/>
      </w:pPr>
      <w:r>
        <w:rPr>
          <w:sz w:val="21"/>
          <w:szCs w:val="21"/>
        </w:rPr>
        <w:t xml:space="preserve">모델이 '제공된 조항만 인용하고 법령을 상상해 만들어내지 말 것'이라는 강한 규칙 아래 referenced_clauses를 채우도록 강제한다. 다만 여러 조항이 함께 제공될 때 어떤 조항을 우선 인용할지는 검색 순위(1번=최고 관련도)를 명시해도 완전히 안정적이지는 않다는 한계가 실사용 중 확인되었다(11장 참고).</w:t>
      </w:r>
    </w:p>
    <w:p>
      <w:pPr>
        <w:pStyle w:val="Heading2"/>
        <w:spacing w:after="160" w:before="320"/>
      </w:pPr>
      <w:r>
        <w:rPr>
          <w:b/>
          <w:bCs/>
          <w:color w:val="2E74B5"/>
          <w:sz w:val="25"/>
          <w:szCs w:val="25"/>
        </w:rPr>
        <w:t xml:space="preserve">8.4 무중단 폴백</w:t>
      </w:r>
    </w:p>
    <w:p>
      <w:pPr>
        <w:spacing w:after="160" w:line="300"/>
      </w:pPr>
      <w:r>
        <w:rPr>
          <w:sz w:val="21"/>
          <w:szCs w:val="21"/>
        </w:rPr>
        <w:t xml:space="preserve">OPENAI_API_KEY가 없거나 RAG 실패, LLM 호출 실패 시 lib/fallbackAgent.ts의 규칙 기반 폴백으로 전환된다. 이 경우 success_rate_basis는 항상 "ml_similarity"로 표시되어, 사용자에게 결과의 출처가 투명하게 드러난다.</w:t>
      </w:r>
    </w:p>
    <w:p>
      <w:pPr>
        <w:pStyle w:val="Heading1"/>
        <w:pBdr>
          <w:bottom w:val="single" w:color="1F3864" w:sz="6" w:space="4"/>
        </w:pBdr>
        <w:spacing w:after="240" w:before="480"/>
      </w:pPr>
      <w:r>
        <w:rPr>
          <w:b/>
          <w:bCs/>
          <w:color w:val="1F3864"/>
          <w:sz w:val="30"/>
          <w:szCs w:val="30"/>
        </w:rPr>
        <w:t xml:space="preserve">9. 6단계 — Rerank: 법령 근거 기반 success_rate 재산정</w:t>
      </w:r>
    </w:p>
    <w:p>
      <w:pPr>
        <w:spacing w:after="160" w:line="300"/>
      </w:pPr>
      <w:r>
        <w:rPr>
          <w:sz w:val="21"/>
          <w:szCs w:val="21"/>
        </w:rPr>
        <w:t xml:space="preserve">공공데이터 표본 부족으로 실제로는 환급 사유가 명확한데도 ML의 success_rate가 낮게 나오는 문제를 보정하기 위해 도입한 재순위화(Rerank/Override) 로직이다. ML 기반 1차 점수를 LLM의 법령 추론 결과로 다시 평가해 필요한 경우에만 대체한다는 점에서 검색·추천 시스템의 Rerank 단계와 동일한 역할을 한다.</w:t>
      </w:r>
    </w:p>
    <w:p>
      <w:pPr>
        <w:pStyle w:val="Heading2"/>
        <w:spacing w:after="160" w:before="320"/>
      </w:pPr>
      <w:r>
        <w:rPr>
          <w:b/>
          <w:bCs/>
          <w:color w:val="2E74B5"/>
          <w:sz w:val="25"/>
          <w:szCs w:val="25"/>
        </w:rPr>
        <w:t xml:space="preserve">9.1 동작 방식</w:t>
      </w:r>
    </w:p>
    <w:p>
      <w:pPr>
        <w:pStyle w:val="ListParagraph"/>
        <w:numPr>
          <w:ilvl w:val="0"/>
          <w:numId w:val="2"/>
        </w:numPr>
        <w:spacing w:after="80" w:line="290"/>
      </w:pPr>
      <w:r>
        <w:rPr>
          <w:sz w:val="21"/>
          <w:szCs w:val="21"/>
        </w:rPr>
        <w:t xml:space="preserve">LLM은 RAG로 검색된 조항이 있으면 항상 legal_success_estimate(법령 조항 + 사용자가 명시한 '본인 상황 사실'만 근거로 독립 산정한 구제 성공률)를 함께 산출한다</w:t>
      </w:r>
    </w:p>
    <w:p>
      <w:pPr>
        <w:pStyle w:val="ListParagraph"/>
        <w:numPr>
          <w:ilvl w:val="0"/>
          <w:numId w:val="2"/>
        </w:numPr>
        <w:spacing w:after="80" w:line="290"/>
      </w:pPr>
      <w:r>
        <w:rPr>
          <w:b/>
          <w:bCs/>
          <w:color w:val="1F3864"/>
          <w:sz w:val="21"/>
          <w:szCs w:val="21"/>
        </w:rPr>
        <w:t xml:space="preserve">상향 전용 override: </w:t>
      </w:r>
      <w:r>
        <w:rPr>
          <w:sz w:val="21"/>
          <w:szCs w:val="21"/>
        </w:rPr>
        <w:t xml:space="preserve">legal_success_estimate가 ML success_rate보다 10%p(MIN_LEGAL_OVERRIDE_MARGIN) 이상 높을 때만 최종 success_rate를 그 값으로 대체한다. 낮게 나와도 하향 조정은 하지 않는다</w:t>
      </w:r>
    </w:p>
    <w:p>
      <w:pPr>
        <w:pStyle w:val="ListParagraph"/>
        <w:numPr>
          <w:ilvl w:val="0"/>
          <w:numId w:val="2"/>
        </w:numPr>
        <w:spacing w:after="80" w:line="290"/>
      </w:pPr>
      <w:r>
        <w:rPr>
          <w:b/>
          <w:bCs/>
          <w:color w:val="1F3864"/>
          <w:sz w:val="21"/>
          <w:szCs w:val="21"/>
        </w:rPr>
        <w:t xml:space="preserve">출처 표시: </w:t>
      </w:r>
      <w:r>
        <w:rPr>
          <w:sz w:val="21"/>
          <w:szCs w:val="21"/>
        </w:rPr>
        <w:t xml:space="preserve">최종 값의 출처는 success_rate_basis("ml_similarity" | "legal_reasoning")로 표시되고, legal_reasoning일 때 UI 게이지 아래 '법령 근거 기반 추정' 배지가 노출된다</w:t>
      </w:r>
    </w:p>
    <w:p>
      <w:pPr>
        <w:pStyle w:val="Heading2"/>
        <w:spacing w:after="160" w:before="320"/>
      </w:pPr>
      <w:r>
        <w:rPr>
          <w:b/>
          <w:bCs/>
          <w:color w:val="2E74B5"/>
          <w:sz w:val="25"/>
          <w:szCs w:val="25"/>
        </w:rPr>
        <w:t xml:space="preserve">9.2 설계 변경 이력 — 경계값 불연속 문제</w:t>
      </w:r>
    </w:p>
    <w:p>
      <w:pPr>
        <w:spacing w:after="160" w:line="300"/>
      </w:pPr>
      <w:r>
        <w:rPr>
          <w:sz w:val="21"/>
          <w:szCs w:val="21"/>
        </w:rPr>
        <w:t xml:space="preserve">최초 구현은 'ML success_rate &lt; 50%일 때만 재산정 시도'라는 고정 임계값을 사용했다. 그런데 49.9%와 50.4%처럼 근거 차이가 거의 없는 두 사안의 결과가 임계값 하나를 사이에 두고 완전히 달라지는 문제가 실사용 중 발견되었다.</w:t>
      </w:r>
    </w:p>
    <w:p>
      <w:pPr>
        <w:spacing w:after="160" w:line="300"/>
      </w:pPr>
      <w:r>
        <w:rPr>
          <w:sz w:val="21"/>
          <w:szCs w:val="21"/>
        </w:rPr>
        <w:t xml:space="preserve">현재는 ML 값의 높낮이와 무관하게 항상 법령 기반 판단을 시도하고, '법령이 ML보다 뚜렷이 유리할 때만' 10%p 마진 규칙으로 한 방향(상향)으로만 반영해 이 불연속을 제거했다. 이는 단순 임계값 분기 대신 '차이의 크기(margin)'를 판단 기준으로 삼아 재순위화의 안정성을 높인 사례다.</w:t>
      </w:r>
    </w:p>
    <w:p>
      <w:pPr>
        <w:pStyle w:val="Heading2"/>
        <w:spacing w:after="160" w:before="320"/>
      </w:pPr>
      <w:r>
        <w:rPr>
          <w:b/>
          <w:bCs/>
          <w:color w:val="2E74B5"/>
          <w:sz w:val="25"/>
          <w:szCs w:val="25"/>
        </w:rPr>
        <w:t xml:space="preserve">9.3 Hallucination 방지를 위한 3가지 핵심 기준</w:t>
      </w:r>
    </w:p>
    <w:p>
      <w:pPr>
        <w:spacing w:after="160" w:line="300"/>
      </w:pPr>
      <w:r>
        <w:rPr>
          <w:sz w:val="21"/>
          <w:szCs w:val="21"/>
        </w:rPr>
        <w:t xml:space="preserve">프롬프트 튜닝 과정에서 실사례로 반복 검증해 확정한 규칙은 다음과 같다.</w:t>
      </w:r>
    </w:p>
    <w:p>
      <w:pPr>
        <w:pStyle w:val="ListParagraph"/>
        <w:numPr>
          <w:ilvl w:val="0"/>
          <w:numId w:val="2"/>
        </w:numPr>
        <w:spacing w:after="80" w:line="290"/>
      </w:pPr>
      <w:r>
        <w:rPr>
          <w:b/>
          <w:bCs/>
          <w:color w:val="1F3864"/>
          <w:sz w:val="21"/>
          <w:szCs w:val="21"/>
        </w:rPr>
        <w:t xml:space="preserve">① 사실과 주장의 구분: </w:t>
      </w:r>
      <w:r>
        <w:rPr>
          <w:sz w:val="21"/>
          <w:szCs w:val="21"/>
        </w:rPr>
        <w:t xml:space="preserve">사용자 입력을 "본인 상황에 대한 사실"(무엇을 했는지/안 했는지, 언제·왜 취소했는지 — 사용자가 말한 대로 사실로 인정)과 "사용자 본인이 스스로 주장하는 법령/정책 내용"(예: "n일 전 취소하면 무료로 알고 있다" — 조항 원문이 그 구체적 수치를 직접 뒷받침하지 않는 한 사실로 인정하지 않음)으로 구분하도록 강제한다. 이 구분이 없으면 (a) 사용자의 미확인 주장을 사실로 오인해 근거 없이 override하거나, (b) 반대로 지시가 복잡해지면 모델이 과도하게 보수적으로 변해 명백히 정당한 사안까지 재산정을 거부하는 두 실패 모드가 번갈아 관측되었다.</w:t>
      </w:r>
    </w:p>
    <w:p>
      <w:pPr>
        <w:pStyle w:val="ListParagraph"/>
        <w:numPr>
          <w:ilvl w:val="0"/>
          <w:numId w:val="2"/>
        </w:numPr>
        <w:spacing w:after="80" w:line="290"/>
      </w:pPr>
      <w:r>
        <w:rPr>
          <w:b/>
          <w:bCs/>
          <w:color w:val="1F3864"/>
          <w:sz w:val="21"/>
          <w:szCs w:val="21"/>
        </w:rPr>
        <w:t xml:space="preserve">② 필드 의미의 명확화: </w:t>
      </w:r>
      <w:r>
        <w:rPr>
          <w:sz w:val="21"/>
          <w:szCs w:val="21"/>
        </w:rPr>
        <w:t xml:space="preserve">legal_success_estimate는 "위약금율/공제율"이 아니라 "소비자 주장이 받아들여질 확률"이라고 명시하지 않으면, 모델이 조항 속 숫자(예: "위약금 10%")를 그대로 성공확률 필드에 넣는 오류가 관측되었다.</w:t>
      </w:r>
    </w:p>
    <w:p>
      <w:pPr>
        <w:pStyle w:val="ListParagraph"/>
        <w:numPr>
          <w:ilvl w:val="0"/>
          <w:numId w:val="2"/>
        </w:numPr>
        <w:spacing w:after="80" w:line="290"/>
      </w:pPr>
      <w:r>
        <w:rPr>
          <w:b/>
          <w:bCs/>
          <w:color w:val="1F3864"/>
          <w:sz w:val="21"/>
          <w:szCs w:val="21"/>
        </w:rPr>
        <w:t xml:space="preserve">③ temperature 하향 조정: </w:t>
      </w:r>
      <w:r>
        <w:rPr>
          <w:sz w:val="21"/>
          <w:szCs w:val="21"/>
        </w:rPr>
        <w:t xml:space="preserve">temperature를 0.4에서 0.2로 낮춰 재산정의 실행 간 일관성을 확보했다(동일 입력에 대해 5회 연속 동일 결과 확인).</w:t>
      </w:r>
    </w:p>
    <w:p>
      <w:pPr>
        <w:spacing w:after="60"/>
      </w:pPr>
    </w:p>
    <w:tbl>
      <w:tblPr>
        <w:tblW w:type="dxa" w:w="9350"/>
        <w:tblBorders>
          <w:top w:val="single" w:color="2E74B5" w:sz="4"/>
          <w:left w:val="single" w:color="2E74B5" w:sz="24"/>
          <w:bottom w:val="single" w:color="2E74B5" w:sz="4"/>
          <w:right w:val="single" w:color="2E74B5" w:sz="4"/>
          <w:insideH w:val="none" w:color="FFFFFF" w:sz="0"/>
          <w:insideV w:val="none" w:color="FFFFFF" w:sz="0"/>
        </w:tblBorders>
      </w:tblPr>
      <w:tblGrid>
        <w:gridCol w:w="9350"/>
      </w:tblGrid>
      <w:tr>
        <w:tc>
          <w:tcPr>
            <w:tcW w:type="dxa" w:w="9350"/>
            <w:shd w:fill="EAF1F8" w:val="clear"/>
            <w:tcMar>
              <w:top w:type="dxa" w:w="140"/>
              <w:left w:type="dxa" w:w="220"/>
              <w:bottom w:type="dxa" w:w="140"/>
              <w:right w:type="dxa" w:w="220"/>
            </w:tcMar>
          </w:tcPr>
          <w:p>
            <w:pPr>
              <w:spacing w:after="60"/>
            </w:pPr>
            <w:r>
              <w:rPr>
                <w:b/>
                <w:bCs/>
                <w:color w:val="1F3864"/>
                <w:sz w:val="21"/>
                <w:szCs w:val="21"/>
              </w:rPr>
              <w:t xml:space="preserve">9장 정리 — Rerank의 핵심 아이디어</w:t>
            </w:r>
          </w:p>
          <w:p>
            <w:pPr>
              <w:spacing w:after="40" w:line="280"/>
            </w:pPr>
            <w:r>
              <w:rPr>
                <w:sz w:val="20"/>
                <w:szCs w:val="20"/>
              </w:rPr>
              <w:t xml:space="preserve">1차 후보(ML 통계적 유사도 기반 success_rate)를 그대로 최종값으로 쓰지 않고, 더 정교한 신호(LLM의 법령 원문 기반 추론)로 재평가한 뒤 '뚜렷하게 더 나을 때만, 한 방향으로만' 반영한다는 것이 이 프로젝트의 Rerank 설계 원칙이다. 이는 일반적인 검색 시스템에서 1차 검색 결과를 2차 모델로 재순위화하는 Rerank 패턴을, '표본이 적은 통계 모델의 저신뢰 출력을 법령 근거 기반 추론으로 보정한다'는 이 프로젝트의 맥락에 맞게 응용한 것이다.</w:t>
            </w:r>
          </w:p>
        </w:tc>
      </w:tr>
    </w:tbl>
    <w:p>
      <w:pPr>
        <w:pStyle w:val="Heading1"/>
        <w:pBdr>
          <w:bottom w:val="single" w:color="1F3864" w:sz="6" w:space="4"/>
        </w:pBdr>
        <w:spacing w:after="240" w:before="480"/>
      </w:pPr>
      <w:r>
        <w:rPr>
          <w:b/>
          <w:bCs/>
          <w:color w:val="1F3864"/>
          <w:sz w:val="30"/>
          <w:szCs w:val="30"/>
        </w:rPr>
        <w:t xml:space="preserve">10. 기술 스택 총괄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4550"/>
        <w:gridCol w:w="3100"/>
      </w:tblGrid>
      <w:tr>
        <w:trPr>
          <w:tblHeader/>
        </w:trPr>
        <w:tc>
          <w:tcPr>
            <w:tcW w:type="dxa" w:w="1700"/>
            <w:shd w:fill="1F3864" w:val="clear"/>
            <w:tcMar>
              <w:top w:type="dxa" w:w="100"/>
              <w:left w:type="dxa" w:w="120"/>
              <w:bottom w:type="dxa" w:w="100"/>
              <w:right w:type="dxa" w:w="120"/>
            </w:tcMar>
            <w:vAlign w:val="center"/>
          </w:tcPr>
          <w:p>
            <w:r>
              <w:rPr>
                <w:b/>
                <w:bCs/>
                <w:color w:val="FFFFFF"/>
                <w:sz w:val="20"/>
                <w:szCs w:val="20"/>
              </w:rPr>
              <w:t xml:space="preserve">영역</w:t>
            </w:r>
          </w:p>
        </w:tc>
        <w:tc>
          <w:tcPr>
            <w:tcW w:type="dxa" w:w="4550"/>
            <w:shd w:fill="1F3864" w:val="clear"/>
            <w:tcMar>
              <w:top w:type="dxa" w:w="100"/>
              <w:left w:type="dxa" w:w="120"/>
              <w:bottom w:type="dxa" w:w="100"/>
              <w:right w:type="dxa" w:w="120"/>
            </w:tcMar>
            <w:vAlign w:val="center"/>
          </w:tcPr>
          <w:p>
            <w:r>
              <w:rPr>
                <w:b/>
                <w:bCs/>
                <w:color w:val="FFFFFF"/>
                <w:sz w:val="20"/>
                <w:szCs w:val="20"/>
              </w:rPr>
              <w:t xml:space="preserve">기술</w:t>
            </w:r>
          </w:p>
        </w:tc>
        <w:tc>
          <w:tcPr>
            <w:tcW w:type="dxa" w:w="3100"/>
            <w:shd w:fill="1F3864" w:val="clear"/>
            <w:tcMar>
              <w:top w:type="dxa" w:w="100"/>
              <w:left w:type="dxa" w:w="120"/>
              <w:bottom w:type="dxa" w:w="100"/>
              <w:right w:type="dxa" w:w="120"/>
            </w:tcMar>
            <w:vAlign w:val="center"/>
          </w:tcPr>
          <w:p>
            <w:r>
              <w:rPr>
                <w:b/>
                <w:bCs/>
                <w:color w:val="FFFFFF"/>
                <w:sz w:val="20"/>
                <w:szCs w:val="20"/>
              </w:rPr>
              <w:t xml:space="preserve">핵심 역할</w:t>
            </w:r>
          </w:p>
        </w:tc>
      </w:tr>
      <w:tr>
        <w:trPr>
          <w:cantSplit/>
        </w:trPr>
        <w:tc>
          <w:tcPr>
            <w:tcW w:type="dxa" w:w="1700"/>
            <w:tcMar>
              <w:top w:type="dxa" w:w="100"/>
              <w:left w:type="dxa" w:w="120"/>
              <w:bottom w:type="dxa" w:w="100"/>
              <w:right w:type="dxa" w:w="120"/>
            </w:tcMar>
            <w:vAlign w:val="center"/>
          </w:tcPr>
          <w:p>
            <w:r>
              <w:rPr>
                <w:b w:val="false"/>
                <w:bCs w:val="false"/>
                <w:color w:val="1F1F1F"/>
                <w:sz w:val="20"/>
                <w:szCs w:val="20"/>
              </w:rPr>
              <w:t xml:space="preserve">프론트엔드</w:t>
            </w:r>
          </w:p>
        </w:tc>
        <w:tc>
          <w:tcPr>
            <w:tcW w:type="dxa" w:w="4550"/>
            <w:tcMar>
              <w:top w:type="dxa" w:w="100"/>
              <w:left w:type="dxa" w:w="120"/>
              <w:bottom w:type="dxa" w:w="100"/>
              <w:right w:type="dxa" w:w="120"/>
            </w:tcMar>
            <w:vAlign w:val="center"/>
          </w:tcPr>
          <w:p>
            <w:r>
              <w:rPr>
                <w:b w:val="false"/>
                <w:bCs w:val="false"/>
                <w:color w:val="1F1F1F"/>
                <w:sz w:val="20"/>
                <w:szCs w:val="20"/>
              </w:rPr>
              <w:t xml:space="preserve">Next.js 14(App Router), React, TypeScript, Tailwind CSS, Recharts, Framer Motion</w:t>
            </w:r>
          </w:p>
        </w:tc>
        <w:tc>
          <w:tcPr>
            <w:tcW w:type="dxa" w:w="3100"/>
            <w:tcMar>
              <w:top w:type="dxa" w:w="100"/>
              <w:left w:type="dxa" w:w="120"/>
              <w:bottom w:type="dxa" w:w="100"/>
              <w:right w:type="dxa" w:w="120"/>
            </w:tcMar>
            <w:vAlign w:val="center"/>
          </w:tcPr>
          <w:p>
            <w:r>
              <w:rPr>
                <w:b w:val="false"/>
                <w:bCs w:val="false"/>
                <w:color w:val="1F1F1F"/>
                <w:sz w:val="20"/>
                <w:szCs w:val="20"/>
              </w:rPr>
              <w:t xml:space="preserve">입력 폼, 결과 대시보드, 통계 차트, 인터랙션</w:t>
            </w:r>
          </w:p>
        </w:tc>
      </w:tr>
      <w:tr>
        <w:trPr>
          <w:cantSplit/>
        </w:trPr>
        <w:tc>
          <w:tcPr>
            <w:tcW w:type="dxa" w:w="1700"/>
            <w:tcMar>
              <w:top w:type="dxa" w:w="100"/>
              <w:left w:type="dxa" w:w="120"/>
              <w:bottom w:type="dxa" w:w="100"/>
              <w:right w:type="dxa" w:w="120"/>
            </w:tcMar>
            <w:vAlign w:val="center"/>
          </w:tcPr>
          <w:p>
            <w:r>
              <w:rPr>
                <w:b w:val="false"/>
                <w:bCs w:val="false"/>
                <w:color w:val="1F1F1F"/>
                <w:sz w:val="20"/>
                <w:szCs w:val="20"/>
              </w:rPr>
              <w:t xml:space="preserve">데이터 전처리</w:t>
            </w:r>
          </w:p>
        </w:tc>
        <w:tc>
          <w:tcPr>
            <w:tcW w:type="dxa" w:w="4550"/>
            <w:tcMar>
              <w:top w:type="dxa" w:w="100"/>
              <w:left w:type="dxa" w:w="120"/>
              <w:bottom w:type="dxa" w:w="100"/>
              <w:right w:type="dxa" w:w="120"/>
            </w:tcMar>
            <w:vAlign w:val="center"/>
          </w:tcPr>
          <w:p>
            <w:r>
              <w:rPr>
                <w:b w:val="false"/>
                <w:bCs w:val="false"/>
                <w:color w:val="1F1F1F"/>
                <w:sz w:val="20"/>
                <w:szCs w:val="20"/>
              </w:rPr>
              <w:t xml:space="preserve">Python 3.12, Pandas, NumPy</w:t>
            </w:r>
          </w:p>
        </w:tc>
        <w:tc>
          <w:tcPr>
            <w:tcW w:type="dxa" w:w="3100"/>
            <w:tcMar>
              <w:top w:type="dxa" w:w="100"/>
              <w:left w:type="dxa" w:w="120"/>
              <w:bottom w:type="dxa" w:w="100"/>
              <w:right w:type="dxa" w:w="120"/>
            </w:tcMar>
            <w:vAlign w:val="center"/>
          </w:tcPr>
          <w:p>
            <w:r>
              <w:rPr>
                <w:b w:val="false"/>
                <w:bCs w:val="false"/>
                <w:color w:val="1F1F1F"/>
                <w:sz w:val="20"/>
                <w:szCs w:val="20"/>
              </w:rPr>
              <w:t xml:space="preserve">CSV 로드/정제, 파생변수 생성, 수치 피처 행렬화</w:t>
            </w:r>
          </w:p>
        </w:tc>
      </w:tr>
      <w:tr>
        <w:trPr>
          <w:cantSplit/>
        </w:trPr>
        <w:tc>
          <w:tcPr>
            <w:tcW w:type="dxa" w:w="1700"/>
            <w:tcMar>
              <w:top w:type="dxa" w:w="100"/>
              <w:left w:type="dxa" w:w="120"/>
              <w:bottom w:type="dxa" w:w="100"/>
              <w:right w:type="dxa" w:w="120"/>
            </w:tcMar>
            <w:vAlign w:val="center"/>
          </w:tcPr>
          <w:p>
            <w:r>
              <w:rPr>
                <w:b w:val="false"/>
                <w:bCs w:val="false"/>
                <w:color w:val="1F1F1F"/>
                <w:sz w:val="20"/>
                <w:szCs w:val="20"/>
              </w:rPr>
              <w:t xml:space="preserve">ML 파이프라인</w:t>
            </w:r>
          </w:p>
        </w:tc>
        <w:tc>
          <w:tcPr>
            <w:tcW w:type="dxa" w:w="4550"/>
            <w:tcMar>
              <w:top w:type="dxa" w:w="100"/>
              <w:left w:type="dxa" w:w="120"/>
              <w:bottom w:type="dxa" w:w="100"/>
              <w:right w:type="dxa" w:w="120"/>
            </w:tcMar>
            <w:vAlign w:val="center"/>
          </w:tcPr>
          <w:p>
            <w:r>
              <w:rPr>
                <w:b w:val="false"/>
                <w:bCs w:val="false"/>
                <w:color w:val="1F1F1F"/>
                <w:sz w:val="20"/>
                <w:szCs w:val="20"/>
              </w:rPr>
              <w:t xml:space="preserve">Scikit-learn(TF-IDF, Logistic Regression, KMeans), SciPy(hstack, csr_matrix), joblib</w:t>
            </w:r>
          </w:p>
        </w:tc>
        <w:tc>
          <w:tcPr>
            <w:tcW w:type="dxa" w:w="3100"/>
            <w:tcMar>
              <w:top w:type="dxa" w:w="100"/>
              <w:left w:type="dxa" w:w="120"/>
              <w:bottom w:type="dxa" w:w="100"/>
              <w:right w:type="dxa" w:w="120"/>
            </w:tcMar>
            <w:vAlign w:val="center"/>
          </w:tcPr>
          <w:p>
            <w:r>
              <w:rPr>
                <w:b w:val="false"/>
                <w:bCs w:val="false"/>
                <w:color w:val="1F1F1F"/>
                <w:sz w:val="20"/>
                <w:szCs w:val="20"/>
              </w:rPr>
              <w:t xml:space="preserve">텍스트 벡터화·분류·군집·유사도 검색·모델 캐싱</w:t>
            </w:r>
          </w:p>
        </w:tc>
      </w:tr>
      <w:tr>
        <w:trPr>
          <w:cantSplit/>
        </w:trPr>
        <w:tc>
          <w:tcPr>
            <w:tcW w:type="dxa" w:w="1700"/>
            <w:tcMar>
              <w:top w:type="dxa" w:w="100"/>
              <w:left w:type="dxa" w:w="120"/>
              <w:bottom w:type="dxa" w:w="100"/>
              <w:right w:type="dxa" w:w="120"/>
            </w:tcMar>
            <w:vAlign w:val="center"/>
          </w:tcPr>
          <w:p>
            <w:r>
              <w:rPr>
                <w:b w:val="false"/>
                <w:bCs w:val="false"/>
                <w:color w:val="1F1F1F"/>
                <w:sz w:val="20"/>
                <w:szCs w:val="20"/>
              </w:rPr>
              <w:t xml:space="preserve">RAG 검색</w:t>
            </w:r>
          </w:p>
        </w:tc>
        <w:tc>
          <w:tcPr>
            <w:tcW w:type="dxa" w:w="4550"/>
            <w:tcMar>
              <w:top w:type="dxa" w:w="100"/>
              <w:left w:type="dxa" w:w="120"/>
              <w:bottom w:type="dxa" w:w="100"/>
              <w:right w:type="dxa" w:w="120"/>
            </w:tcMar>
            <w:vAlign w:val="center"/>
          </w:tcPr>
          <w:p>
            <w:r>
              <w:rPr>
                <w:b w:val="false"/>
                <w:bCs w:val="false"/>
                <w:color w:val="1F1F1F"/>
                <w:sz w:val="20"/>
                <w:szCs w:val="20"/>
              </w:rPr>
              <w:t xml:space="preserve">OpenAI text-embedding-3-small, 로컬 JSON + 코사인 유사도(브루트포스)</w:t>
            </w:r>
          </w:p>
        </w:tc>
        <w:tc>
          <w:tcPr>
            <w:tcW w:type="dxa" w:w="3100"/>
            <w:tcMar>
              <w:top w:type="dxa" w:w="100"/>
              <w:left w:type="dxa" w:w="120"/>
              <w:bottom w:type="dxa" w:w="100"/>
              <w:right w:type="dxa" w:w="120"/>
            </w:tcMar>
            <w:vAlign w:val="center"/>
          </w:tcPr>
          <w:p>
            <w:r>
              <w:rPr>
                <w:b w:val="false"/>
                <w:bCs w:val="false"/>
                <w:color w:val="1F1F1F"/>
                <w:sz w:val="20"/>
                <w:szCs w:val="20"/>
              </w:rPr>
              <w:t xml:space="preserve">법령 조항 임베딩·하이브리드 검색</w:t>
            </w:r>
          </w:p>
        </w:tc>
      </w:tr>
      <w:tr>
        <w:trPr>
          <w:cantSplit/>
        </w:trPr>
        <w:tc>
          <w:tcPr>
            <w:tcW w:type="dxa" w:w="1700"/>
            <w:tcMar>
              <w:top w:type="dxa" w:w="100"/>
              <w:left w:type="dxa" w:w="120"/>
              <w:bottom w:type="dxa" w:w="100"/>
              <w:right w:type="dxa" w:w="120"/>
            </w:tcMar>
            <w:vAlign w:val="center"/>
          </w:tcPr>
          <w:p>
            <w:r>
              <w:rPr>
                <w:b w:val="false"/>
                <w:bCs w:val="false"/>
                <w:color w:val="1F1F1F"/>
                <w:sz w:val="20"/>
                <w:szCs w:val="20"/>
              </w:rPr>
              <w:t xml:space="preserve">LLM Agent</w:t>
            </w:r>
          </w:p>
        </w:tc>
        <w:tc>
          <w:tcPr>
            <w:tcW w:type="dxa" w:w="4550"/>
            <w:tcMar>
              <w:top w:type="dxa" w:w="100"/>
              <w:left w:type="dxa" w:w="120"/>
              <w:bottom w:type="dxa" w:w="100"/>
              <w:right w:type="dxa" w:w="120"/>
            </w:tcMar>
            <w:vAlign w:val="center"/>
          </w:tcPr>
          <w:p>
            <w:r>
              <w:rPr>
                <w:b w:val="false"/>
                <w:bCs w:val="false"/>
                <w:color w:val="1F1F1F"/>
                <w:sz w:val="20"/>
                <w:szCs w:val="20"/>
              </w:rPr>
              <w:t xml:space="preserve">OpenAI gpt-4o-mini, Structured JSON Output, temperature 0.2</w:t>
            </w:r>
          </w:p>
        </w:tc>
        <w:tc>
          <w:tcPr>
            <w:tcW w:type="dxa" w:w="3100"/>
            <w:tcMar>
              <w:top w:type="dxa" w:w="100"/>
              <w:left w:type="dxa" w:w="120"/>
              <w:bottom w:type="dxa" w:w="100"/>
              <w:right w:type="dxa" w:w="120"/>
            </w:tcMar>
            <w:vAlign w:val="center"/>
          </w:tcPr>
          <w:p>
            <w:r>
              <w:rPr>
                <w:b w:val="false"/>
                <w:bCs w:val="false"/>
                <w:color w:val="1F1F1F"/>
                <w:sz w:val="20"/>
                <w:szCs w:val="20"/>
              </w:rPr>
              <w:t xml:space="preserve">종합 리포트·법적 근거·내용증명 생성, Rerank 판단</w:t>
            </w:r>
          </w:p>
        </w:tc>
      </w:tr>
      <w:tr>
        <w:trPr>
          <w:cantSplit/>
        </w:trPr>
        <w:tc>
          <w:tcPr>
            <w:tcW w:type="dxa" w:w="1700"/>
            <w:tcMar>
              <w:top w:type="dxa" w:w="100"/>
              <w:left w:type="dxa" w:w="120"/>
              <w:bottom w:type="dxa" w:w="100"/>
              <w:right w:type="dxa" w:w="120"/>
            </w:tcMar>
            <w:vAlign w:val="center"/>
          </w:tcPr>
          <w:p>
            <w:r>
              <w:rPr>
                <w:b w:val="false"/>
                <w:bCs w:val="false"/>
                <w:color w:val="1F1F1F"/>
                <w:sz w:val="20"/>
                <w:szCs w:val="20"/>
              </w:rPr>
              <w:t xml:space="preserve">배포</w:t>
            </w:r>
          </w:p>
        </w:tc>
        <w:tc>
          <w:tcPr>
            <w:tcW w:type="dxa" w:w="4550"/>
            <w:tcMar>
              <w:top w:type="dxa" w:w="100"/>
              <w:left w:type="dxa" w:w="120"/>
              <w:bottom w:type="dxa" w:w="100"/>
              <w:right w:type="dxa" w:w="120"/>
            </w:tcMar>
            <w:vAlign w:val="center"/>
          </w:tcPr>
          <w:p>
            <w:r>
              <w:rPr>
                <w:b w:val="false"/>
                <w:bCs w:val="false"/>
                <w:color w:val="1F1F1F"/>
                <w:sz w:val="20"/>
                <w:szCs w:val="20"/>
              </w:rPr>
              <w:t xml:space="preserve">Vercel(Next.js 프레임워크 + Python 서버리스 함수 동시 배포)</w:t>
            </w:r>
          </w:p>
        </w:tc>
        <w:tc>
          <w:tcPr>
            <w:tcW w:type="dxa" w:w="3100"/>
            <w:tcMar>
              <w:top w:type="dxa" w:w="100"/>
              <w:left w:type="dxa" w:w="120"/>
              <w:bottom w:type="dxa" w:w="100"/>
              <w:right w:type="dxa" w:w="120"/>
            </w:tcMar>
            <w:vAlign w:val="center"/>
          </w:tcPr>
          <w:p>
            <w:r>
              <w:rPr>
                <w:b w:val="false"/>
                <w:bCs w:val="false"/>
                <w:color w:val="1F1F1F"/>
                <w:sz w:val="20"/>
                <w:szCs w:val="20"/>
              </w:rPr>
              <w:t xml:space="preserve">풀스택 서버리스 운영</w:t>
            </w:r>
          </w:p>
        </w:tc>
      </w:tr>
      <w:tr>
        <w:trPr>
          <w:cantSplit/>
        </w:trPr>
        <w:tc>
          <w:tcPr>
            <w:tcW w:type="dxa" w:w="1700"/>
            <w:tcMar>
              <w:top w:type="dxa" w:w="100"/>
              <w:left w:type="dxa" w:w="120"/>
              <w:bottom w:type="dxa" w:w="100"/>
              <w:right w:type="dxa" w:w="120"/>
            </w:tcMar>
            <w:vAlign w:val="center"/>
          </w:tcPr>
          <w:p>
            <w:r>
              <w:rPr>
                <w:b w:val="false"/>
                <w:bCs w:val="false"/>
                <w:color w:val="1F1F1F"/>
                <w:sz w:val="20"/>
                <w:szCs w:val="20"/>
              </w:rPr>
              <w:t xml:space="preserve">자동화</w:t>
            </w:r>
          </w:p>
        </w:tc>
        <w:tc>
          <w:tcPr>
            <w:tcW w:type="dxa" w:w="4550"/>
            <w:tcMar>
              <w:top w:type="dxa" w:w="100"/>
              <w:left w:type="dxa" w:w="120"/>
              <w:bottom w:type="dxa" w:w="100"/>
              <w:right w:type="dxa" w:w="120"/>
            </w:tcMar>
            <w:vAlign w:val="center"/>
          </w:tcPr>
          <w:p>
            <w:r>
              <w:rPr>
                <w:b w:val="false"/>
                <w:bCs w:val="false"/>
                <w:color w:val="1F1F1F"/>
                <w:sz w:val="20"/>
                <w:szCs w:val="20"/>
              </w:rPr>
              <w:t xml:space="preserve">Git 커밋 해시 기반 버전 감지·자동 새로고침(VersionWatcher)</w:t>
            </w:r>
          </w:p>
        </w:tc>
        <w:tc>
          <w:tcPr>
            <w:tcW w:type="dxa" w:w="3100"/>
            <w:tcMar>
              <w:top w:type="dxa" w:w="100"/>
              <w:left w:type="dxa" w:w="120"/>
              <w:bottom w:type="dxa" w:w="100"/>
              <w:right w:type="dxa" w:w="120"/>
            </w:tcMar>
            <w:vAlign w:val="center"/>
          </w:tcPr>
          <w:p>
            <w:r>
              <w:rPr>
                <w:b w:val="false"/>
                <w:bCs w:val="false"/>
                <w:color w:val="1F1F1F"/>
                <w:sz w:val="20"/>
                <w:szCs w:val="20"/>
              </w:rPr>
              <w:t xml:space="preserve">배포 버전 동기화</w:t>
            </w:r>
          </w:p>
        </w:tc>
      </w:tr>
    </w:tbl>
    <w:p>
      <w:pPr>
        <w:pStyle w:val="Heading1"/>
        <w:pBdr>
          <w:bottom w:val="single" w:color="1F3864" w:sz="6" w:space="4"/>
        </w:pBdr>
        <w:spacing w:after="240" w:before="480"/>
      </w:pPr>
      <w:r>
        <w:rPr>
          <w:b/>
          <w:bCs/>
          <w:color w:val="1F3864"/>
          <w:sz w:val="30"/>
          <w:szCs w:val="30"/>
        </w:rPr>
        <w:t xml:space="preserve">11. 알려진 한계 및 향후 과제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rPr>
          <w:tblHeader/>
        </w:trPr>
        <w:tc>
          <w:tcPr>
            <w:tcW w:type="dxa" w:w="1900"/>
            <w:shd w:fill="1F3864" w:val="clear"/>
            <w:tcMar>
              <w:top w:type="dxa" w:w="100"/>
              <w:left w:type="dxa" w:w="120"/>
              <w:bottom w:type="dxa" w:w="100"/>
              <w:right w:type="dxa" w:w="120"/>
            </w:tcMar>
            <w:vAlign w:val="center"/>
          </w:tcPr>
          <w:p>
            <w:r>
              <w:rPr>
                <w:b/>
                <w:bCs/>
                <w:color w:val="FFFFFF"/>
                <w:sz w:val="20"/>
                <w:szCs w:val="20"/>
              </w:rPr>
              <w:t xml:space="preserve">항목</w:t>
            </w:r>
          </w:p>
        </w:tc>
        <w:tc>
          <w:tcPr>
            <w:tcW w:type="dxa" w:w="4200"/>
            <w:shd w:fill="1F3864" w:val="clear"/>
            <w:tcMar>
              <w:top w:type="dxa" w:w="100"/>
              <w:left w:type="dxa" w:w="120"/>
              <w:bottom w:type="dxa" w:w="100"/>
              <w:right w:type="dxa" w:w="120"/>
            </w:tcMar>
            <w:vAlign w:val="center"/>
          </w:tcPr>
          <w:p>
            <w:r>
              <w:rPr>
                <w:b/>
                <w:bCs/>
                <w:color w:val="FFFFFF"/>
                <w:sz w:val="20"/>
                <w:szCs w:val="20"/>
              </w:rPr>
              <w:t xml:space="preserve">현재 상태</w:t>
            </w:r>
          </w:p>
        </w:tc>
        <w:tc>
          <w:tcPr>
            <w:tcW w:type="dxa" w:w="3250"/>
            <w:shd w:fill="1F3864" w:val="clear"/>
            <w:tcMar>
              <w:top w:type="dxa" w:w="100"/>
              <w:left w:type="dxa" w:w="120"/>
              <w:bottom w:type="dxa" w:w="100"/>
              <w:right w:type="dxa" w:w="120"/>
            </w:tcMar>
            <w:vAlign w:val="center"/>
          </w:tcPr>
          <w:p>
            <w:r>
              <w:rPr>
                <w:b/>
                <w:bCs/>
                <w:color w:val="FFFFFF"/>
                <w:sz w:val="20"/>
                <w:szCs w:val="20"/>
              </w:rPr>
              <w:t xml:space="preserve">개선 방향</w:t>
            </w:r>
          </w:p>
        </w:tc>
      </w:tr>
      <w:tr>
        <w:trPr>
          <w:cantSplit/>
        </w:trPr>
        <w:tc>
          <w:tcPr>
            <w:tcW w:type="dxa" w:w="1900"/>
            <w:tcMar>
              <w:top w:type="dxa" w:w="100"/>
              <w:left w:type="dxa" w:w="120"/>
              <w:bottom w:type="dxa" w:w="100"/>
              <w:right w:type="dxa" w:w="120"/>
            </w:tcMar>
            <w:vAlign w:val="center"/>
          </w:tcPr>
          <w:p>
            <w:r>
              <w:rPr>
                <w:b w:val="false"/>
                <w:bCs w:val="false"/>
                <w:color w:val="1F1F1F"/>
                <w:sz w:val="20"/>
                <w:szCs w:val="20"/>
              </w:rPr>
              <w:t xml:space="preserve">카테고리 힌트 미반영</w:t>
            </w:r>
          </w:p>
        </w:tc>
        <w:tc>
          <w:tcPr>
            <w:tcW w:type="dxa" w:w="4200"/>
            <w:tcMar>
              <w:top w:type="dxa" w:w="100"/>
              <w:left w:type="dxa" w:w="120"/>
              <w:bottom w:type="dxa" w:w="100"/>
              <w:right w:type="dxa" w:w="120"/>
            </w:tcMar>
            <w:vAlign w:val="center"/>
          </w:tcPr>
          <w:p>
            <w:r>
              <w:rPr>
                <w:b w:val="false"/>
                <w:bCs w:val="false"/>
                <w:color w:val="1F1F1F"/>
                <w:sz w:val="20"/>
                <w:szCs w:val="20"/>
              </w:rPr>
              <w:t xml:space="preserve">사용자가 고른 카테고리가 ML 분류에 입력되지 않음</w:t>
            </w:r>
          </w:p>
        </w:tc>
        <w:tc>
          <w:tcPr>
            <w:tcW w:type="dxa" w:w="3250"/>
            <w:tcMar>
              <w:top w:type="dxa" w:w="100"/>
              <w:left w:type="dxa" w:w="120"/>
              <w:bottom w:type="dxa" w:w="100"/>
              <w:right w:type="dxa" w:w="120"/>
            </w:tcMar>
            <w:vAlign w:val="center"/>
          </w:tcPr>
          <w:p>
            <w:r>
              <w:rPr>
                <w:b w:val="false"/>
                <w:bCs w:val="false"/>
                <w:color w:val="1F1F1F"/>
                <w:sz w:val="20"/>
                <w:szCs w:val="20"/>
              </w:rPr>
              <w:t xml:space="preserve">힌트를 피처 또는 사전 필터로 반영</w:t>
            </w:r>
          </w:p>
        </w:tc>
      </w:tr>
      <w:tr>
        <w:trPr>
          <w:cantSplit/>
        </w:trPr>
        <w:tc>
          <w:tcPr>
            <w:tcW w:type="dxa" w:w="1900"/>
            <w:tcMar>
              <w:top w:type="dxa" w:w="100"/>
              <w:left w:type="dxa" w:w="120"/>
              <w:bottom w:type="dxa" w:w="100"/>
              <w:right w:type="dxa" w:w="120"/>
            </w:tcMar>
            <w:vAlign w:val="center"/>
          </w:tcPr>
          <w:p>
            <w:r>
              <w:rPr>
                <w:b w:val="false"/>
                <w:bCs w:val="false"/>
                <w:color w:val="1F1F1F"/>
                <w:sz w:val="20"/>
                <w:szCs w:val="20"/>
              </w:rPr>
              <w:t xml:space="preserve">저신뢰도 유사사례 검색</w:t>
            </w:r>
          </w:p>
        </w:tc>
        <w:tc>
          <w:tcPr>
            <w:tcW w:type="dxa" w:w="4200"/>
            <w:tcMar>
              <w:top w:type="dxa" w:w="100"/>
              <w:left w:type="dxa" w:w="120"/>
              <w:bottom w:type="dxa" w:w="100"/>
              <w:right w:type="dxa" w:w="120"/>
            </w:tcMar>
            <w:vAlign w:val="center"/>
          </w:tcPr>
          <w:p>
            <w:r>
              <w:rPr>
                <w:b w:val="false"/>
                <w:bCs w:val="false"/>
                <w:color w:val="1F1F1F"/>
                <w:sz w:val="20"/>
                <w:szCs w:val="20"/>
              </w:rPr>
              <w:t xml:space="preserve">confidence&lt;35%일 때 K-Means 군집 확장이 무관한 카테고리를 끌어올 수 있음(콘도 취소 사례에서 실제 관측)</w:t>
            </w:r>
          </w:p>
        </w:tc>
        <w:tc>
          <w:tcPr>
            <w:tcW w:type="dxa" w:w="3250"/>
            <w:tcMar>
              <w:top w:type="dxa" w:w="100"/>
              <w:left w:type="dxa" w:w="120"/>
              <w:bottom w:type="dxa" w:w="100"/>
              <w:right w:type="dxa" w:w="120"/>
            </w:tcMar>
            <w:vAlign w:val="center"/>
          </w:tcPr>
          <w:p>
            <w:r>
              <w:rPr>
                <w:b w:val="false"/>
                <w:bCs w:val="false"/>
                <w:color w:val="1F1F1F"/>
                <w:sz w:val="20"/>
                <w:szCs w:val="20"/>
              </w:rPr>
              <w:t xml:space="preserve">법령 키워드 매칭으로 카테고리 재판단하는 보조 로직(제안했으나 미구현)</w:t>
            </w:r>
          </w:p>
        </w:tc>
      </w:tr>
      <w:tr>
        <w:trPr>
          <w:cantSplit/>
        </w:trPr>
        <w:tc>
          <w:tcPr>
            <w:tcW w:type="dxa" w:w="1900"/>
            <w:tcMar>
              <w:top w:type="dxa" w:w="100"/>
              <w:left w:type="dxa" w:w="120"/>
              <w:bottom w:type="dxa" w:w="100"/>
              <w:right w:type="dxa" w:w="120"/>
            </w:tcMar>
            <w:vAlign w:val="center"/>
          </w:tcPr>
          <w:p>
            <w:r>
              <w:rPr>
                <w:b w:val="false"/>
                <w:bCs w:val="false"/>
                <w:color w:val="1F1F1F"/>
                <w:sz w:val="20"/>
                <w:szCs w:val="20"/>
              </w:rPr>
              <w:t xml:space="preserve">다중 조항 인용 우선순위</w:t>
            </w:r>
          </w:p>
        </w:tc>
        <w:tc>
          <w:tcPr>
            <w:tcW w:type="dxa" w:w="4200"/>
            <w:tcMar>
              <w:top w:type="dxa" w:w="100"/>
              <w:left w:type="dxa" w:w="120"/>
              <w:bottom w:type="dxa" w:w="100"/>
              <w:right w:type="dxa" w:w="120"/>
            </w:tcMar>
            <w:vAlign w:val="center"/>
          </w:tcPr>
          <w:p>
            <w:r>
              <w:rPr>
                <w:b w:val="false"/>
                <w:bCs w:val="false"/>
                <w:color w:val="1F1F1F"/>
                <w:sz w:val="20"/>
                <w:szCs w:val="20"/>
              </w:rPr>
              <w:t xml:space="preserve">여러 법령 조항이 함께 검색되면 LLM이 더 관련성 높은 조항 대신 더 일반적인 조항을 인용하는 경향이 반복 관측됨(프롬프트로 완전히 해결되지 않음)</w:t>
            </w:r>
          </w:p>
        </w:tc>
        <w:tc>
          <w:tcPr>
            <w:tcW w:type="dxa" w:w="3250"/>
            <w:tcMar>
              <w:top w:type="dxa" w:w="100"/>
              <w:left w:type="dxa" w:w="120"/>
              <w:bottom w:type="dxa" w:w="100"/>
              <w:right w:type="dxa" w:w="120"/>
            </w:tcMar>
            <w:vAlign w:val="center"/>
          </w:tcPr>
          <w:p>
            <w:r>
              <w:rPr>
                <w:b w:val="false"/>
                <w:bCs w:val="false"/>
                <w:color w:val="1F1F1F"/>
                <w:sz w:val="20"/>
                <w:szCs w:val="20"/>
              </w:rPr>
              <w:t xml:space="preserve">Top-1만 전달하거나 검색 단계에서 특정 조항의 가중치를 더 강하게 부여</w:t>
            </w:r>
          </w:p>
        </w:tc>
      </w:tr>
      <w:tr>
        <w:trPr>
          <w:cantSplit/>
        </w:trPr>
        <w:tc>
          <w:tcPr>
            <w:tcW w:type="dxa" w:w="1900"/>
            <w:tcMar>
              <w:top w:type="dxa" w:w="100"/>
              <w:left w:type="dxa" w:w="120"/>
              <w:bottom w:type="dxa" w:w="100"/>
              <w:right w:type="dxa" w:w="120"/>
            </w:tcMar>
            <w:vAlign w:val="center"/>
          </w:tcPr>
          <w:p>
            <w:r>
              <w:rPr>
                <w:b w:val="false"/>
                <w:bCs w:val="false"/>
                <w:color w:val="1F1F1F"/>
                <w:sz w:val="20"/>
                <w:szCs w:val="20"/>
              </w:rPr>
              <w:t xml:space="preserve">법령 지식베이스 정확도</w:t>
            </w:r>
          </w:p>
        </w:tc>
        <w:tc>
          <w:tcPr>
            <w:tcW w:type="dxa" w:w="4200"/>
            <w:tcMar>
              <w:top w:type="dxa" w:w="100"/>
              <w:left w:type="dxa" w:w="120"/>
              <w:bottom w:type="dxa" w:w="100"/>
              <w:right w:type="dxa" w:w="120"/>
            </w:tcMar>
            <w:vAlign w:val="center"/>
          </w:tcPr>
          <w:p>
            <w:r>
              <w:rPr>
                <w:b w:val="false"/>
                <w:bCs w:val="false"/>
                <w:color w:val="1F1F1F"/>
                <w:sz w:val="20"/>
                <w:szCs w:val="20"/>
              </w:rPr>
              <w:t xml:space="preserve">legal_kb.json은 원문 대조 없이 일반 지식으로 작성한 참고용 요약</w:t>
            </w:r>
          </w:p>
        </w:tc>
        <w:tc>
          <w:tcPr>
            <w:tcW w:type="dxa" w:w="3250"/>
            <w:tcMar>
              <w:top w:type="dxa" w:w="100"/>
              <w:left w:type="dxa" w:w="120"/>
              <w:bottom w:type="dxa" w:w="100"/>
              <w:right w:type="dxa" w:w="120"/>
            </w:tcMar>
            <w:vAlign w:val="center"/>
          </w:tcPr>
          <w:p>
            <w:r>
              <w:rPr>
                <w:b w:val="false"/>
                <w:bCs w:val="false"/>
                <w:color w:val="1F1F1F"/>
                <w:sz w:val="20"/>
                <w:szCs w:val="20"/>
              </w:rPr>
              <w:t xml:space="preserve">국가법령정보센터 Open API 등으로 원문 대조·주기적 갱신</w:t>
            </w:r>
          </w:p>
        </w:tc>
      </w:tr>
      <w:tr>
        <w:trPr>
          <w:cantSplit/>
        </w:trPr>
        <w:tc>
          <w:tcPr>
            <w:tcW w:type="dxa" w:w="1900"/>
            <w:tcMar>
              <w:top w:type="dxa" w:w="100"/>
              <w:left w:type="dxa" w:w="120"/>
              <w:bottom w:type="dxa" w:w="100"/>
              <w:right w:type="dxa" w:w="120"/>
            </w:tcMar>
            <w:vAlign w:val="center"/>
          </w:tcPr>
          <w:p>
            <w:r>
              <w:rPr>
                <w:b w:val="false"/>
                <w:bCs w:val="false"/>
                <w:color w:val="1F1F1F"/>
                <w:sz w:val="20"/>
                <w:szCs w:val="20"/>
              </w:rPr>
              <w:t xml:space="preserve">사례 유사도 검색</w:t>
            </w:r>
          </w:p>
        </w:tc>
        <w:tc>
          <w:tcPr>
            <w:tcW w:type="dxa" w:w="4200"/>
            <w:tcMar>
              <w:top w:type="dxa" w:w="100"/>
              <w:left w:type="dxa" w:w="120"/>
              <w:bottom w:type="dxa" w:w="100"/>
              <w:right w:type="dxa" w:w="120"/>
            </w:tcMar>
            <w:vAlign w:val="center"/>
          </w:tcPr>
          <w:p>
            <w:r>
              <w:rPr>
                <w:b w:val="false"/>
                <w:bCs w:val="false"/>
                <w:color w:val="1F1F1F"/>
                <w:sz w:val="20"/>
                <w:szCs w:val="20"/>
              </w:rPr>
              <w:t xml:space="preserve">케이스뱅크 유사사례 검색은 여전히 TF-IDF 기반(임베딩 미적용)</w:t>
            </w:r>
          </w:p>
        </w:tc>
        <w:tc>
          <w:tcPr>
            <w:tcW w:type="dxa" w:w="3250"/>
            <w:tcMar>
              <w:top w:type="dxa" w:w="100"/>
              <w:left w:type="dxa" w:w="120"/>
              <w:bottom w:type="dxa" w:w="100"/>
              <w:right w:type="dxa" w:w="120"/>
            </w:tcMar>
            <w:vAlign w:val="center"/>
          </w:tcPr>
          <w:p>
            <w:r>
              <w:rPr>
                <w:b w:val="false"/>
                <w:bCs w:val="false"/>
                <w:color w:val="1F1F1F"/>
                <w:sz w:val="20"/>
                <w:szCs w:val="20"/>
              </w:rPr>
              <w:t xml:space="preserve">RAG처럼 임베딩 기반으로 고도화(제안했으나 범위상 미착수)</w:t>
            </w:r>
          </w:p>
        </w:tc>
      </w:tr>
      <w:tr>
        <w:trPr>
          <w:cantSplit/>
        </w:trPr>
        <w:tc>
          <w:tcPr>
            <w:tcW w:type="dxa" w:w="1900"/>
            <w:tcMar>
              <w:top w:type="dxa" w:w="100"/>
              <w:left w:type="dxa" w:w="120"/>
              <w:bottom w:type="dxa" w:w="100"/>
              <w:right w:type="dxa" w:w="120"/>
            </w:tcMar>
            <w:vAlign w:val="center"/>
          </w:tcPr>
          <w:p>
            <w:r>
              <w:rPr>
                <w:b w:val="false"/>
                <w:bCs w:val="false"/>
                <w:color w:val="1F1F1F"/>
                <w:sz w:val="20"/>
                <w:szCs w:val="20"/>
              </w:rPr>
              <w:t xml:space="preserve">success_rate LLM 변동성</w:t>
            </w:r>
          </w:p>
        </w:tc>
        <w:tc>
          <w:tcPr>
            <w:tcW w:type="dxa" w:w="4200"/>
            <w:tcMar>
              <w:top w:type="dxa" w:w="100"/>
              <w:left w:type="dxa" w:w="120"/>
              <w:bottom w:type="dxa" w:w="100"/>
              <w:right w:type="dxa" w:w="120"/>
            </w:tcMar>
            <w:vAlign w:val="center"/>
          </w:tcPr>
          <w:p>
            <w:r>
              <w:rPr>
                <w:b w:val="false"/>
                <w:bCs w:val="false"/>
                <w:color w:val="1F1F1F"/>
                <w:sz w:val="20"/>
                <w:szCs w:val="20"/>
              </w:rPr>
              <w:t xml:space="preserve">temperature 0.2로 낮췄으나 LLM 기반 판단이라 완전한 결정론은 아님</w:t>
            </w:r>
          </w:p>
        </w:tc>
        <w:tc>
          <w:tcPr>
            <w:tcW w:type="dxa" w:w="3250"/>
            <w:tcMar>
              <w:top w:type="dxa" w:w="100"/>
              <w:left w:type="dxa" w:w="120"/>
              <w:bottom w:type="dxa" w:w="100"/>
              <w:right w:type="dxa" w:w="120"/>
            </w:tcMar>
            <w:vAlign w:val="center"/>
          </w:tcPr>
          <w:p>
            <w:r>
              <w:rPr>
                <w:b w:val="false"/>
                <w:bCs w:val="false"/>
                <w:color w:val="1F1F1F"/>
                <w:sz w:val="20"/>
                <w:szCs w:val="20"/>
              </w:rPr>
              <w:t xml:space="preserve">필요 시 더 낮은 temperature 또는 다수결(self-consistency) 검토</w:t>
            </w:r>
          </w:p>
        </w:tc>
      </w:tr>
    </w:tbl>
    <w:p>
      <w:pPr>
        <w:pStyle w:val="Heading1"/>
        <w:pBdr>
          <w:bottom w:val="single" w:color="1F3864" w:sz="6" w:space="4"/>
        </w:pBdr>
        <w:spacing w:after="240" w:before="480"/>
      </w:pPr>
      <w:r>
        <w:rPr>
          <w:b/>
          <w:bCs/>
          <w:color w:val="1F3864"/>
          <w:sz w:val="30"/>
          <w:szCs w:val="30"/>
        </w:rPr>
        <w:t xml:space="preserve">12. 결론</w:t>
      </w:r>
    </w:p>
    <w:p>
      <w:pPr>
        <w:spacing w:after="160" w:line="300"/>
      </w:pPr>
      <w:r>
        <w:rPr>
          <w:sz w:val="21"/>
          <w:szCs w:val="21"/>
        </w:rPr>
        <w:t xml:space="preserve">ClaimMate는 '라벨 없는 원시 텍스트를 규칙 기반으로 1회 정형화 → 문자 n-gram TF-IDF와 Pandas/NumPy로 가벼운 피처 엔지니어링 → Scikit-learn 지도/비지도 학습으로 1차 분류·검색 → RAG로 법령 원문 근거 확보 → LLM으로 최종 리포트 생성 → 신뢰도 마진 기반 Rerank로 최종 점수 보정'이라는 하나의 일관된 파이프라인으로 설계되어 있다.</w:t>
      </w:r>
    </w:p>
    <w:p>
      <w:pPr>
        <w:spacing w:after="160" w:line="300"/>
      </w:pPr>
      <w:r>
        <w:rPr>
          <w:sz w:val="21"/>
          <w:szCs w:val="21"/>
        </w:rPr>
        <w:t xml:space="preserve">핵심은 각 구성요소가 서로의 약점을 보완하도록 배치되어 있다는 점이다. 형태소 분석기 대신 char n-gram TF-IDF를 선택해 서버리스 제약(JVM 미지원)을 우회했고, 표본이 부족한 통계 모델의 한계를 LLM의 법령 추론으로, LLM의 hallucination 위험은 RAG의 원문 근거 주입과 상향 전용 Rerank 마진 규칙으로 각각 보완했다. 동시에 RAG·LLM 구성요소 장애 시 정적 지식·규칙 기반 폴백으로 전환하는 무중단 설계가 전 구간에 일관되게 적용되어 있다.</w:t>
      </w:r>
    </w:p>
    <w:p>
      <w:pPr>
        <w:spacing w:after="160" w:line="300"/>
      </w:pPr>
      <w:r>
        <w:rPr>
          <w:sz w:val="21"/>
          <w:szCs w:val="21"/>
        </w:rPr>
        <w:t xml:space="preserve">다만 11장에 정리한 대로 카테고리 힌트 미반영, 저신뢰도 구간의 군집 확장 오탐, 다중 조항 인용 우선순위 불안정 등은 실사용 중 확인된 한계로 남아 있으며, 이는 향후 개선 과제로 문서화되어 있다.</w:t>
      </w:r>
    </w:p>
    <w:p>
      <w:pPr>
        <w:spacing w:after="160"/>
      </w:pPr>
    </w:p>
    <w:p>
      <w:pPr>
        <w:spacing w:after="160" w:line="300"/>
      </w:pPr>
      <w:r>
        <w:rPr>
          <w:i/>
          <w:iCs/>
          <w:color w:val="595959"/>
          <w:sz w:val="18"/>
          <w:szCs w:val="18"/>
        </w:rPr>
        <w:t xml:space="preserve">※ 본 보고서는 사용자가 제공한 프로젝트 문서(기술스택.md, 분석.md, SPEC_프로젝트개발명세서.md, SPEC_ClaimMate_Final.md, SPEC_RAG.md)의 내용을 근거로 작성되었다.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999999"/>
        <w:sz w:val="16"/>
        <w:szCs w:val="16"/>
      </w:rPr>
      <w:t xml:space="preserve">ClaimMate 프로젝트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2026-08-26T13:31:16.787Z</dcterms:created>
  <dcterms:modified xsi:type="dcterms:W3CDTF">2026-08-26T13:31:16.797Z</dcterms:modified>
</cp:coreProperties>
</file>

<file path=docProps/custom.xml><?xml version="1.0" encoding="utf-8"?>
<Properties xmlns="http://schemas.openxmlformats.org/officeDocument/2006/custom-properties" xmlns:vt="http://schemas.openxmlformats.org/officeDocument/2006/docPropsVTypes"/>
</file>