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1D4ED" w14:textId="565F3AB8" w:rsidR="000F6ACB" w:rsidRDefault="00B724EE" w:rsidP="00B724EE">
      <w:pPr>
        <w:jc w:val="both"/>
        <w:rPr>
          <w:rFonts w:ascii="Calibri" w:hAnsi="Calibri" w:cs="Calibri"/>
        </w:rPr>
      </w:pPr>
      <w:r w:rsidRPr="00B724EE">
        <w:rPr>
          <w:rFonts w:ascii="Calibri" w:hAnsi="Calibri" w:cs="Calibri"/>
        </w:rPr>
        <w:t xml:space="preserve">Las decisiones complejas, como la selección de planes de seguro, tratamientos de salud o alternativas de jubilación, </w:t>
      </w:r>
      <w:r>
        <w:rPr>
          <w:rFonts w:ascii="Calibri" w:hAnsi="Calibri" w:cs="Calibri"/>
        </w:rPr>
        <w:t xml:space="preserve">a menudo </w:t>
      </w:r>
      <w:r w:rsidRPr="00B724EE">
        <w:rPr>
          <w:rFonts w:ascii="Calibri" w:hAnsi="Calibri" w:cs="Calibri"/>
        </w:rPr>
        <w:t xml:space="preserve">requieren que las personas procesen información multidimensional, comparen atributos inciertos y anticipen consecuencias futuras bajo restricciones cognitivas y de tiempo. </w:t>
      </w:r>
      <w:r w:rsidR="00723B0C" w:rsidRPr="00723B0C">
        <w:rPr>
          <w:rFonts w:ascii="Calibri" w:hAnsi="Calibri" w:cs="Calibri"/>
        </w:rPr>
        <w:t>Diversas investigaciones han mostrado que los individuos frecuentemente experimentan dificultades para comprender riesgos, evaluar alternativas y tomar decisiones alineadas con sus preferencias cuando enfrentan entornos informacionales complejos (Elwyn et al., 2012; Fagerlin et al., 2013).</w:t>
      </w:r>
      <w:r w:rsidR="00C000DD">
        <w:rPr>
          <w:rFonts w:ascii="Calibri" w:hAnsi="Calibri" w:cs="Calibri"/>
        </w:rPr>
        <w:t xml:space="preserve"> </w:t>
      </w:r>
      <w:r w:rsidRPr="00B724EE">
        <w:rPr>
          <w:rFonts w:ascii="Calibri" w:hAnsi="Calibri" w:cs="Calibri"/>
        </w:rPr>
        <w:t xml:space="preserve">Para enfrentar estas dificultades, una amplia literatura ha desarrollado </w:t>
      </w:r>
      <w:proofErr w:type="spellStart"/>
      <w:r w:rsidRPr="00B724EE">
        <w:rPr>
          <w:rFonts w:ascii="Calibri" w:hAnsi="Calibri" w:cs="Calibri"/>
        </w:rPr>
        <w:t>decision</w:t>
      </w:r>
      <w:proofErr w:type="spellEnd"/>
      <w:r w:rsidRPr="00B724EE">
        <w:rPr>
          <w:rFonts w:ascii="Calibri" w:hAnsi="Calibri" w:cs="Calibri"/>
        </w:rPr>
        <w:t xml:space="preserve"> </w:t>
      </w:r>
      <w:proofErr w:type="spellStart"/>
      <w:r w:rsidRPr="00B724EE">
        <w:rPr>
          <w:rFonts w:ascii="Calibri" w:hAnsi="Calibri" w:cs="Calibri"/>
        </w:rPr>
        <w:t>aids</w:t>
      </w:r>
      <w:proofErr w:type="spellEnd"/>
      <w:r w:rsidRPr="00B724EE">
        <w:rPr>
          <w:rFonts w:ascii="Calibri" w:hAnsi="Calibri" w:cs="Calibri"/>
        </w:rPr>
        <w:t xml:space="preserve"> destinadas a facilitar elecciones informadas mediante la organización y presentación estructurada de información relevante</w:t>
      </w:r>
      <w:r w:rsidR="00EA1D61">
        <w:rPr>
          <w:rFonts w:ascii="Calibri" w:hAnsi="Calibri" w:cs="Calibri"/>
        </w:rPr>
        <w:t>, generalmente en el área de salud, pero se ha extrapolado a otras áreas como decisiones financieras</w:t>
      </w:r>
      <w:r w:rsidR="00054211">
        <w:rPr>
          <w:rFonts w:ascii="Calibri" w:hAnsi="Calibri" w:cs="Calibri"/>
        </w:rPr>
        <w:t xml:space="preserve"> </w:t>
      </w:r>
      <w:r w:rsidR="00054211" w:rsidRPr="00054211">
        <w:rPr>
          <w:rFonts w:ascii="Calibri" w:hAnsi="Calibri" w:cs="Calibri"/>
        </w:rPr>
        <w:t>(Stacey et al., 2017)</w:t>
      </w:r>
      <w:r w:rsidRPr="00B724EE">
        <w:rPr>
          <w:rFonts w:ascii="Calibri" w:hAnsi="Calibri" w:cs="Calibri"/>
        </w:rPr>
        <w:t xml:space="preserve">. </w:t>
      </w:r>
      <w:r w:rsidRPr="030FB895">
        <w:rPr>
          <w:rFonts w:ascii="Calibri" w:hAnsi="Calibri" w:cs="Calibri"/>
          <w:highlight w:val="yellow"/>
        </w:rPr>
        <w:t>La evidencia muestra que incluso modificaciones relativamente simples en la arquitectura informacional pueden influir sustantivamente en la calidad de las decisiones</w:t>
      </w:r>
      <w:r w:rsidRPr="00B724EE">
        <w:rPr>
          <w:rFonts w:ascii="Calibri" w:hAnsi="Calibri" w:cs="Calibri"/>
        </w:rPr>
        <w:t xml:space="preserve">: por ejemplo, simplificar y reorganizar la información disponible en herramientas de comparación de planes puede conducir a elecciones más costo-efectivas sin reducir la calidad percibida de las opciones seleccionadas (McGarry et al., 2018). De manera complementaria, estudios sobre interacción con </w:t>
      </w:r>
      <w:proofErr w:type="spellStart"/>
      <w:r w:rsidRPr="00B724EE">
        <w:rPr>
          <w:rFonts w:ascii="Calibri" w:hAnsi="Calibri" w:cs="Calibri"/>
        </w:rPr>
        <w:t>decision</w:t>
      </w:r>
      <w:proofErr w:type="spellEnd"/>
      <w:r w:rsidRPr="00B724EE">
        <w:rPr>
          <w:rFonts w:ascii="Calibri" w:hAnsi="Calibri" w:cs="Calibri"/>
        </w:rPr>
        <w:t xml:space="preserve"> </w:t>
      </w:r>
      <w:proofErr w:type="spellStart"/>
      <w:r w:rsidRPr="00B724EE">
        <w:rPr>
          <w:rFonts w:ascii="Calibri" w:hAnsi="Calibri" w:cs="Calibri"/>
        </w:rPr>
        <w:t>aids</w:t>
      </w:r>
      <w:proofErr w:type="spellEnd"/>
      <w:r w:rsidRPr="00B724EE">
        <w:rPr>
          <w:rFonts w:ascii="Calibri" w:hAnsi="Calibri" w:cs="Calibri"/>
        </w:rPr>
        <w:t xml:space="preserve"> indican que la forma en que los usuarios navegan la información</w:t>
      </w:r>
      <w:r w:rsidR="000B3431">
        <w:rPr>
          <w:rFonts w:ascii="Calibri" w:hAnsi="Calibri" w:cs="Calibri"/>
        </w:rPr>
        <w:t xml:space="preserve">, </w:t>
      </w:r>
      <w:r w:rsidRPr="00B724EE">
        <w:rPr>
          <w:rFonts w:ascii="Calibri" w:hAnsi="Calibri" w:cs="Calibri"/>
        </w:rPr>
        <w:t>por ejemplo, a través de experiencias más guiadas versus exploración autónoma</w:t>
      </w:r>
      <w:r w:rsidR="009351CF">
        <w:rPr>
          <w:rFonts w:ascii="Calibri" w:hAnsi="Calibri" w:cs="Calibri"/>
        </w:rPr>
        <w:t xml:space="preserve"> de los contenidos</w:t>
      </w:r>
      <w:r w:rsidRPr="00B724EE">
        <w:rPr>
          <w:rFonts w:ascii="Calibri" w:hAnsi="Calibri" w:cs="Calibri"/>
        </w:rPr>
        <w:t xml:space="preserve"> afecta tanto el aprendizaje como el proceso decisional, especialmente entre individuos con distintos niveles de alfabetización </w:t>
      </w:r>
      <w:r w:rsidR="009351CF">
        <w:rPr>
          <w:rFonts w:ascii="Calibri" w:hAnsi="Calibri" w:cs="Calibri"/>
        </w:rPr>
        <w:t>financiera</w:t>
      </w:r>
      <w:r w:rsidRPr="00B724EE">
        <w:rPr>
          <w:rFonts w:ascii="Calibri" w:hAnsi="Calibri" w:cs="Calibri"/>
        </w:rPr>
        <w:t xml:space="preserve"> o conocimiento previo</w:t>
      </w:r>
      <w:r w:rsidR="00B57FC8">
        <w:rPr>
          <w:rFonts w:ascii="Calibri" w:hAnsi="Calibri" w:cs="Calibri"/>
        </w:rPr>
        <w:t xml:space="preserve"> sobre seguros</w:t>
      </w:r>
      <w:r w:rsidRPr="00B724EE">
        <w:rPr>
          <w:rFonts w:ascii="Calibri" w:hAnsi="Calibri" w:cs="Calibri"/>
        </w:rPr>
        <w:t xml:space="preserve"> (Giang et al., 2021). En conjunto, esta literatura demuestra que la estructura de la experiencia informacional importa, aunque la mayoría de estas intervenciones opera principalmente modificando el entorno de elección o reduciendo la complejidad percibida, más que promoviendo el desarrollo progresivo de competencias decisionales en los individuos.</w:t>
      </w:r>
    </w:p>
    <w:p w14:paraId="132A5A1B" w14:textId="4F3060E9" w:rsidR="00B57FC8" w:rsidRDefault="00362259" w:rsidP="00B724EE">
      <w:pPr>
        <w:jc w:val="both"/>
        <w:rPr>
          <w:rFonts w:ascii="Calibri" w:hAnsi="Calibri" w:cs="Calibri"/>
        </w:rPr>
      </w:pPr>
      <w:r w:rsidRPr="00362259">
        <w:rPr>
          <w:rFonts w:ascii="Calibri" w:hAnsi="Calibri" w:cs="Calibri"/>
        </w:rPr>
        <w:t>Si bien l</w:t>
      </w:r>
      <w:r w:rsidR="00744663">
        <w:rPr>
          <w:rFonts w:ascii="Calibri" w:hAnsi="Calibri" w:cs="Calibri"/>
        </w:rPr>
        <w:t>a</w:t>
      </w:r>
      <w:r w:rsidRPr="00362259">
        <w:rPr>
          <w:rFonts w:ascii="Calibri" w:hAnsi="Calibri" w:cs="Calibri"/>
        </w:rPr>
        <w:t xml:space="preserve">s </w:t>
      </w:r>
      <w:proofErr w:type="spellStart"/>
      <w:r w:rsidRPr="00362259">
        <w:rPr>
          <w:rFonts w:ascii="Calibri" w:hAnsi="Calibri" w:cs="Calibri"/>
        </w:rPr>
        <w:t>decision</w:t>
      </w:r>
      <w:proofErr w:type="spellEnd"/>
      <w:r w:rsidRPr="00362259">
        <w:rPr>
          <w:rFonts w:ascii="Calibri" w:hAnsi="Calibri" w:cs="Calibri"/>
        </w:rPr>
        <w:t xml:space="preserve"> </w:t>
      </w:r>
      <w:proofErr w:type="spellStart"/>
      <w:r w:rsidRPr="00362259">
        <w:rPr>
          <w:rFonts w:ascii="Calibri" w:hAnsi="Calibri" w:cs="Calibri"/>
        </w:rPr>
        <w:t>aids</w:t>
      </w:r>
      <w:proofErr w:type="spellEnd"/>
      <w:r w:rsidRPr="00362259">
        <w:rPr>
          <w:rFonts w:ascii="Calibri" w:hAnsi="Calibri" w:cs="Calibri"/>
        </w:rPr>
        <w:t xml:space="preserve"> han demostrado que estructurar la información puede mejorar el proceso de elección, estos enfoques suelen centrarse en la presentación del contenido más que en la forma en que los individuos adquieren progresivamente l</w:t>
      </w:r>
      <w:r w:rsidR="00193D8B">
        <w:rPr>
          <w:rFonts w:ascii="Calibri" w:hAnsi="Calibri" w:cs="Calibri"/>
        </w:rPr>
        <w:t>o</w:t>
      </w:r>
      <w:r w:rsidRPr="00362259">
        <w:rPr>
          <w:rFonts w:ascii="Calibri" w:hAnsi="Calibri" w:cs="Calibri"/>
        </w:rPr>
        <w:t xml:space="preserve">s </w:t>
      </w:r>
      <w:r w:rsidR="00193D8B">
        <w:rPr>
          <w:rFonts w:ascii="Calibri" w:hAnsi="Calibri" w:cs="Calibri"/>
        </w:rPr>
        <w:t>conocimientos</w:t>
      </w:r>
      <w:r w:rsidRPr="00362259">
        <w:rPr>
          <w:rFonts w:ascii="Calibri" w:hAnsi="Calibri" w:cs="Calibri"/>
        </w:rPr>
        <w:t xml:space="preserve"> necesari</w:t>
      </w:r>
      <w:r w:rsidR="00193D8B">
        <w:rPr>
          <w:rFonts w:ascii="Calibri" w:hAnsi="Calibri" w:cs="Calibri"/>
        </w:rPr>
        <w:t>o</w:t>
      </w:r>
      <w:r w:rsidRPr="00362259">
        <w:rPr>
          <w:rFonts w:ascii="Calibri" w:hAnsi="Calibri" w:cs="Calibri"/>
        </w:rPr>
        <w:t xml:space="preserve">s para decidir. En paralelo, </w:t>
      </w:r>
      <w:r w:rsidR="004C6385">
        <w:rPr>
          <w:rFonts w:ascii="Calibri" w:hAnsi="Calibri" w:cs="Calibri"/>
        </w:rPr>
        <w:t>la</w:t>
      </w:r>
      <w:r w:rsidRPr="00362259">
        <w:rPr>
          <w:rFonts w:ascii="Calibri" w:hAnsi="Calibri" w:cs="Calibri"/>
        </w:rPr>
        <w:t xml:space="preserve"> literatura </w:t>
      </w:r>
      <w:r w:rsidR="004C6385">
        <w:rPr>
          <w:rFonts w:ascii="Calibri" w:hAnsi="Calibri" w:cs="Calibri"/>
        </w:rPr>
        <w:t>sobre</w:t>
      </w:r>
      <w:r w:rsidRPr="00362259">
        <w:rPr>
          <w:rFonts w:ascii="Calibri" w:hAnsi="Calibri" w:cs="Calibri"/>
        </w:rPr>
        <w:t xml:space="preserve"> aprendizaje adaptativo y sistemas educativos inteligentes ha abordado </w:t>
      </w:r>
      <w:r w:rsidR="004C6385">
        <w:rPr>
          <w:rFonts w:ascii="Calibri" w:hAnsi="Calibri" w:cs="Calibri"/>
        </w:rPr>
        <w:t xml:space="preserve">problemas </w:t>
      </w:r>
      <w:r w:rsidR="00DB5799">
        <w:rPr>
          <w:rFonts w:ascii="Calibri" w:hAnsi="Calibri" w:cs="Calibri"/>
        </w:rPr>
        <w:t xml:space="preserve">sobre </w:t>
      </w:r>
      <w:r w:rsidR="001B7CF3">
        <w:rPr>
          <w:rFonts w:ascii="Calibri" w:hAnsi="Calibri" w:cs="Calibri"/>
        </w:rPr>
        <w:t>cómo</w:t>
      </w:r>
      <w:r w:rsidR="00DB5799">
        <w:rPr>
          <w:rFonts w:ascii="Calibri" w:hAnsi="Calibri" w:cs="Calibri"/>
        </w:rPr>
        <w:t xml:space="preserve"> organizar secuencias de contenido </w:t>
      </w:r>
      <w:r w:rsidRPr="00362259">
        <w:rPr>
          <w:rFonts w:ascii="Calibri" w:hAnsi="Calibri" w:cs="Calibri"/>
        </w:rPr>
        <w:t>en función del conocimiento previo</w:t>
      </w:r>
      <w:r w:rsidR="00B72079">
        <w:rPr>
          <w:rFonts w:ascii="Calibri" w:hAnsi="Calibri" w:cs="Calibri"/>
        </w:rPr>
        <w:t xml:space="preserve"> del usuario o sus intereses personales</w:t>
      </w:r>
      <w:r w:rsidRPr="00362259">
        <w:rPr>
          <w:rFonts w:ascii="Calibri" w:hAnsi="Calibri" w:cs="Calibri"/>
        </w:rPr>
        <w:t xml:space="preserve"> y </w:t>
      </w:r>
      <w:r w:rsidR="00564E0B">
        <w:rPr>
          <w:rFonts w:ascii="Calibri" w:hAnsi="Calibri" w:cs="Calibri"/>
        </w:rPr>
        <w:t xml:space="preserve">de </w:t>
      </w:r>
      <w:r w:rsidRPr="00362259">
        <w:rPr>
          <w:rFonts w:ascii="Calibri" w:hAnsi="Calibri" w:cs="Calibri"/>
        </w:rPr>
        <w:t xml:space="preserve">las dependencias conceptuales entre </w:t>
      </w:r>
      <w:r w:rsidR="00564E0B">
        <w:rPr>
          <w:rFonts w:ascii="Calibri" w:hAnsi="Calibri" w:cs="Calibri"/>
        </w:rPr>
        <w:t xml:space="preserve">temas </w:t>
      </w:r>
      <w:r w:rsidR="0014095C" w:rsidRPr="0014095C">
        <w:rPr>
          <w:rFonts w:ascii="Calibri" w:hAnsi="Calibri" w:cs="Calibri"/>
        </w:rPr>
        <w:t xml:space="preserve">(Brusilovsky, 2001; </w:t>
      </w:r>
      <w:proofErr w:type="spellStart"/>
      <w:r w:rsidR="0014095C" w:rsidRPr="0014095C">
        <w:rPr>
          <w:rFonts w:ascii="Calibri" w:hAnsi="Calibri" w:cs="Calibri"/>
        </w:rPr>
        <w:t>Karampiperis</w:t>
      </w:r>
      <w:proofErr w:type="spellEnd"/>
      <w:r w:rsidR="0014095C" w:rsidRPr="0014095C">
        <w:rPr>
          <w:rFonts w:ascii="Calibri" w:hAnsi="Calibri" w:cs="Calibri"/>
        </w:rPr>
        <w:t xml:space="preserve"> &amp; Sampson, 2005)</w:t>
      </w:r>
      <w:r w:rsidRPr="00362259">
        <w:rPr>
          <w:rFonts w:ascii="Calibri" w:hAnsi="Calibri" w:cs="Calibri"/>
        </w:rPr>
        <w:t>.</w:t>
      </w:r>
      <w:r w:rsidR="00073055">
        <w:rPr>
          <w:rFonts w:ascii="Calibri" w:hAnsi="Calibri" w:cs="Calibri"/>
        </w:rPr>
        <w:t xml:space="preserve"> </w:t>
      </w:r>
      <w:r w:rsidR="00073055" w:rsidRPr="00073055">
        <w:rPr>
          <w:rFonts w:ascii="Calibri" w:hAnsi="Calibri" w:cs="Calibri"/>
        </w:rPr>
        <w:t>Desde la perspectiva del aprendizaje, múltiples estudios han mostrado que la forma en que la información se secuencia influye tanto en la comprensión como en la retención del conocimiento (Mayer, 2009). En particular, la teoría de carga cognitiva sostiene que el aprendizaje efectivo depende de equilibrar la complejidad del material con las limitaciones cognitivas del individuo, evitando sobrecargar la memoria de trabajo durante el proceso de adquisición de conocimiento (Sweller, 1988; Paas &amp; van Merriënboer, 1994).</w:t>
      </w:r>
      <w:r w:rsidRPr="00362259">
        <w:rPr>
          <w:rFonts w:ascii="Calibri" w:hAnsi="Calibri" w:cs="Calibri"/>
        </w:rPr>
        <w:t xml:space="preserve"> En este </w:t>
      </w:r>
      <w:r w:rsidRPr="00362259">
        <w:rPr>
          <w:rFonts w:ascii="Calibri" w:hAnsi="Calibri" w:cs="Calibri"/>
        </w:rPr>
        <w:lastRenderedPageBreak/>
        <w:t xml:space="preserve">contexto, Chen (2008) muestra que la construcción de rutas de aprendizaje personalizadas, guiadas por diagnósticos </w:t>
      </w:r>
      <w:r w:rsidR="0082731E">
        <w:rPr>
          <w:rFonts w:ascii="Calibri" w:hAnsi="Calibri" w:cs="Calibri"/>
        </w:rPr>
        <w:t xml:space="preserve">previos </w:t>
      </w:r>
      <w:r w:rsidRPr="00362259">
        <w:rPr>
          <w:rFonts w:ascii="Calibri" w:hAnsi="Calibri" w:cs="Calibri"/>
        </w:rPr>
        <w:t>del usuario, permite optimizar secuencia</w:t>
      </w:r>
      <w:r w:rsidR="00CA10DA">
        <w:rPr>
          <w:rFonts w:ascii="Calibri" w:hAnsi="Calibri" w:cs="Calibri"/>
        </w:rPr>
        <w:t>s</w:t>
      </w:r>
      <w:r w:rsidRPr="00362259">
        <w:rPr>
          <w:rFonts w:ascii="Calibri" w:hAnsi="Calibri" w:cs="Calibri"/>
        </w:rPr>
        <w:t xml:space="preserve"> de contenidos y mejorar significativamente los resultados de aprendizaje en comparación con enfoques no estructurados. </w:t>
      </w:r>
      <w:r w:rsidRPr="3B16F44D">
        <w:rPr>
          <w:rFonts w:ascii="Calibri" w:hAnsi="Calibri" w:cs="Calibri"/>
          <w:highlight w:val="yellow"/>
        </w:rPr>
        <w:t xml:space="preserve">Este enfoque parte del supuesto de que el aprendizaje no depende únicamente del acceso a la información, sino también del orden en que los conceptos son introducidos, así como de las relaciones de </w:t>
      </w:r>
      <w:proofErr w:type="spellStart"/>
      <w:r w:rsidRPr="3B16F44D">
        <w:rPr>
          <w:rFonts w:ascii="Calibri" w:hAnsi="Calibri" w:cs="Calibri"/>
          <w:highlight w:val="yellow"/>
        </w:rPr>
        <w:t>prerequisito</w:t>
      </w:r>
      <w:proofErr w:type="spellEnd"/>
      <w:r w:rsidRPr="3B16F44D">
        <w:rPr>
          <w:rFonts w:ascii="Calibri" w:hAnsi="Calibri" w:cs="Calibri"/>
          <w:highlight w:val="yellow"/>
        </w:rPr>
        <w:t xml:space="preserve"> entre ellos.</w:t>
      </w:r>
      <w:r w:rsidRPr="00362259">
        <w:rPr>
          <w:rFonts w:ascii="Calibri" w:hAnsi="Calibri" w:cs="Calibri"/>
        </w:rPr>
        <w:t xml:space="preserve"> Sin embargo, esta literatura se ha desarrollado principalmente en contextos educativos formales orientados al rendimiento académico, y rara vez ha sido aplicada al apoyo de decisiones reales de alta consecuencia, donde el objetivo no es aprobar una evaluación, sino desarrollar comprensión suficiente para tomar decisiones informadas bajo incertidumbre. Esta desconexión sugiere la necesidad de integrar enfoques de secuenciación personalizada con el diseño de intervenciones orientadas a mejorar la competencia decisional en contextos del mundo real.</w:t>
      </w:r>
    </w:p>
    <w:p w14:paraId="41FAA44D" w14:textId="6BE76A25" w:rsidR="000210FF" w:rsidRPr="00B724EE" w:rsidRDefault="00CD1986" w:rsidP="00B724EE">
      <w:pPr>
        <w:jc w:val="both"/>
        <w:rPr>
          <w:rFonts w:ascii="Calibri" w:hAnsi="Calibri" w:cs="Calibri"/>
        </w:rPr>
      </w:pPr>
      <w:r w:rsidRPr="00CD1986">
        <w:rPr>
          <w:rFonts w:ascii="Calibri" w:hAnsi="Calibri" w:cs="Calibri"/>
        </w:rPr>
        <w:t xml:space="preserve">El marco conceptual de los </w:t>
      </w:r>
      <w:proofErr w:type="spellStart"/>
      <w:r w:rsidRPr="00CD1986">
        <w:rPr>
          <w:rFonts w:ascii="Calibri" w:hAnsi="Calibri" w:cs="Calibri"/>
        </w:rPr>
        <w:t>boosts</w:t>
      </w:r>
      <w:proofErr w:type="spellEnd"/>
      <w:r w:rsidRPr="00CD1986">
        <w:rPr>
          <w:rFonts w:ascii="Calibri" w:hAnsi="Calibri" w:cs="Calibri"/>
        </w:rPr>
        <w:t xml:space="preserve"> ofrece una forma de integrar estas dos tradiciones. A diferencia de los </w:t>
      </w:r>
      <w:proofErr w:type="spellStart"/>
      <w:r w:rsidRPr="00CD1986">
        <w:rPr>
          <w:rFonts w:ascii="Calibri" w:hAnsi="Calibri" w:cs="Calibri"/>
        </w:rPr>
        <w:t>nudges</w:t>
      </w:r>
      <w:proofErr w:type="spellEnd"/>
      <w:r w:rsidRPr="00CD1986">
        <w:rPr>
          <w:rFonts w:ascii="Calibri" w:hAnsi="Calibri" w:cs="Calibri"/>
        </w:rPr>
        <w:t xml:space="preserve">, que buscan influir en las elecciones modificando el entorno decisional, los </w:t>
      </w:r>
      <w:proofErr w:type="spellStart"/>
      <w:r w:rsidRPr="00CD1986">
        <w:rPr>
          <w:rFonts w:ascii="Calibri" w:hAnsi="Calibri" w:cs="Calibri"/>
        </w:rPr>
        <w:t>boosts</w:t>
      </w:r>
      <w:proofErr w:type="spellEnd"/>
      <w:r w:rsidRPr="00CD1986">
        <w:rPr>
          <w:rFonts w:ascii="Calibri" w:hAnsi="Calibri" w:cs="Calibri"/>
        </w:rPr>
        <w:t xml:space="preserve"> apuntan a fortalecer las competencias de las personas para que puedan tomar mejores decisiones por sí mismas, promoviendo autonomía y comprensión transferible a distintos contextos (Grüne-Yanoff &amp; Hertwig, 2016; Hertwig &amp; Grüne-Yanoff, 2017). En la práctica, las intervenciones tipo </w:t>
      </w:r>
      <w:proofErr w:type="spellStart"/>
      <w:r w:rsidRPr="00CD1986">
        <w:rPr>
          <w:rFonts w:ascii="Calibri" w:hAnsi="Calibri" w:cs="Calibri"/>
        </w:rPr>
        <w:t>boost</w:t>
      </w:r>
      <w:proofErr w:type="spellEnd"/>
      <w:r w:rsidRPr="00CD1986">
        <w:rPr>
          <w:rFonts w:ascii="Calibri" w:hAnsi="Calibri" w:cs="Calibri"/>
        </w:rPr>
        <w:t xml:space="preserve"> han incluido estrategias destinadas a mejorar la alfabetización en riesgos, el razonamiento probabilístico o el uso de reglas simples que facilitan decisiones bajo incertidumbre (</w:t>
      </w:r>
      <w:proofErr w:type="spellStart"/>
      <w:r w:rsidRPr="00CD1986">
        <w:rPr>
          <w:rFonts w:ascii="Calibri" w:hAnsi="Calibri" w:cs="Calibri"/>
        </w:rPr>
        <w:t>Gigerenzer</w:t>
      </w:r>
      <w:proofErr w:type="spellEnd"/>
      <w:r w:rsidRPr="00CD1986">
        <w:rPr>
          <w:rFonts w:ascii="Calibri" w:hAnsi="Calibri" w:cs="Calibri"/>
        </w:rPr>
        <w:t xml:space="preserve"> et al., 2007; Drexler et al., 2014; </w:t>
      </w:r>
      <w:proofErr w:type="spellStart"/>
      <w:r w:rsidRPr="00CD1986">
        <w:rPr>
          <w:rFonts w:ascii="Calibri" w:hAnsi="Calibri" w:cs="Calibri"/>
        </w:rPr>
        <w:t>Morewedge</w:t>
      </w:r>
      <w:proofErr w:type="spellEnd"/>
      <w:r w:rsidRPr="00CD1986">
        <w:rPr>
          <w:rFonts w:ascii="Calibri" w:hAnsi="Calibri" w:cs="Calibri"/>
        </w:rPr>
        <w:t xml:space="preserve"> et al., 2015), así como el desarrollo de herramientas cognitivas que permiten a los individuos navegar entornos informacionales complejos, particularmente en contextos digitales (Kozyreva et al., 2020). No obstante, la literatura existente ha tendido a conceptualizar los </w:t>
      </w:r>
      <w:proofErr w:type="spellStart"/>
      <w:r w:rsidRPr="00CD1986">
        <w:rPr>
          <w:rFonts w:ascii="Calibri" w:hAnsi="Calibri" w:cs="Calibri"/>
        </w:rPr>
        <w:t>boosts</w:t>
      </w:r>
      <w:proofErr w:type="spellEnd"/>
      <w:r w:rsidRPr="00CD1986">
        <w:rPr>
          <w:rFonts w:ascii="Calibri" w:hAnsi="Calibri" w:cs="Calibri"/>
        </w:rPr>
        <w:t xml:space="preserve"> como herramientas o entrenamientos discretos, ofreciendo escasa orientación respecto de cómo debería estructurarse temporalmente la adquisición de competencias cuando las decisiones requieren aprendizaje progresivo bajo restricciones reales (Hertwig, 2017; </w:t>
      </w:r>
      <w:proofErr w:type="spellStart"/>
      <w:r w:rsidRPr="00CD1986">
        <w:rPr>
          <w:rFonts w:ascii="Calibri" w:hAnsi="Calibri" w:cs="Calibri"/>
        </w:rPr>
        <w:t>Grüne</w:t>
      </w:r>
      <w:proofErr w:type="spellEnd"/>
      <w:r w:rsidRPr="00CD1986">
        <w:rPr>
          <w:rFonts w:ascii="Calibri" w:hAnsi="Calibri" w:cs="Calibri"/>
        </w:rPr>
        <w:t xml:space="preserve">-Yanoff et al., 2018). En este sentido, la evidencia </w:t>
      </w:r>
      <w:r w:rsidR="008D0AF7">
        <w:rPr>
          <w:rFonts w:ascii="Calibri" w:hAnsi="Calibri" w:cs="Calibri"/>
        </w:rPr>
        <w:t xml:space="preserve">que </w:t>
      </w:r>
      <w:r w:rsidRPr="00CD1986">
        <w:rPr>
          <w:rFonts w:ascii="Calibri" w:hAnsi="Calibri" w:cs="Calibri"/>
        </w:rPr>
        <w:t xml:space="preserve">proveniente de </w:t>
      </w:r>
      <w:proofErr w:type="spellStart"/>
      <w:r w:rsidRPr="00CD1986">
        <w:rPr>
          <w:rFonts w:ascii="Calibri" w:hAnsi="Calibri" w:cs="Calibri"/>
        </w:rPr>
        <w:t>decision</w:t>
      </w:r>
      <w:proofErr w:type="spellEnd"/>
      <w:r w:rsidRPr="00CD1986">
        <w:rPr>
          <w:rFonts w:ascii="Calibri" w:hAnsi="Calibri" w:cs="Calibri"/>
        </w:rPr>
        <w:t xml:space="preserve"> </w:t>
      </w:r>
      <w:proofErr w:type="spellStart"/>
      <w:r w:rsidRPr="00CD1986">
        <w:rPr>
          <w:rFonts w:ascii="Calibri" w:hAnsi="Calibri" w:cs="Calibri"/>
        </w:rPr>
        <w:t>aids</w:t>
      </w:r>
      <w:proofErr w:type="spellEnd"/>
      <w:r w:rsidRPr="00CD1986">
        <w:rPr>
          <w:rFonts w:ascii="Calibri" w:hAnsi="Calibri" w:cs="Calibri"/>
        </w:rPr>
        <w:t xml:space="preserve"> muestra que la organización de la información y la guía en la navegación influyen en los resultados decisionales (McGarry et al., 2018; Giang et al., 2021), mientras que la literatura de aprendizaje adaptativo demuestra que la secuenciación personalizada puede optimizar la adquisición de conocimiento (Chen, 2008). Sobre esta base, proponemos interpretar las secuencias de aprendizaje optimizadas como un mecanismo de implementación del enfoque de </w:t>
      </w:r>
      <w:proofErr w:type="spellStart"/>
      <w:r w:rsidRPr="00CD1986">
        <w:rPr>
          <w:rFonts w:ascii="Calibri" w:hAnsi="Calibri" w:cs="Calibri"/>
        </w:rPr>
        <w:t>boosting</w:t>
      </w:r>
      <w:proofErr w:type="spellEnd"/>
      <w:r w:rsidRPr="00CD1986">
        <w:rPr>
          <w:rFonts w:ascii="Calibri" w:hAnsi="Calibri" w:cs="Calibri"/>
        </w:rPr>
        <w:t xml:space="preserve">: en lugar de simplificar únicamente el entorno de elección, la intervención estructura la trayectoria mediante la cual se desarrollan progresivamente las competencias necesarias para decidir. Al integrar ciencia conductual y métodos de optimización, este enfoque amplía la literatura de </w:t>
      </w:r>
      <w:proofErr w:type="spellStart"/>
      <w:r w:rsidRPr="00CD1986">
        <w:rPr>
          <w:rFonts w:ascii="Calibri" w:hAnsi="Calibri" w:cs="Calibri"/>
        </w:rPr>
        <w:t>boosts</w:t>
      </w:r>
      <w:proofErr w:type="spellEnd"/>
      <w:r w:rsidRPr="00CD1986">
        <w:rPr>
          <w:rFonts w:ascii="Calibri" w:hAnsi="Calibri" w:cs="Calibri"/>
        </w:rPr>
        <w:t xml:space="preserve"> hacia </w:t>
      </w:r>
      <w:r w:rsidRPr="00CD1986">
        <w:rPr>
          <w:rFonts w:ascii="Calibri" w:hAnsi="Calibri" w:cs="Calibri"/>
        </w:rPr>
        <w:lastRenderedPageBreak/>
        <w:t>intervenciones personalizadas y escalables orientadas a decisiones complejas del mundo real.</w:t>
      </w:r>
    </w:p>
    <w:p w14:paraId="19F3A055" w14:textId="24DC6BE0" w:rsidR="00EC02B9" w:rsidRPr="005A5A17" w:rsidRDefault="00EC02B9" w:rsidP="002F1F38">
      <w:pPr>
        <w:jc w:val="both"/>
        <w:rPr>
          <w:rFonts w:ascii="Calibri" w:hAnsi="Calibri" w:cs="Calibri"/>
        </w:rPr>
      </w:pPr>
    </w:p>
    <w:sectPr w:rsidR="00EC02B9" w:rsidRPr="005A5A1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5027C"/>
    <w:multiLevelType w:val="hybridMultilevel"/>
    <w:tmpl w:val="B866D9B4"/>
    <w:lvl w:ilvl="0" w:tplc="C32846E2">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72BB380E"/>
    <w:multiLevelType w:val="multilevel"/>
    <w:tmpl w:val="A05C9B3C"/>
    <w:lvl w:ilvl="0">
      <w:start w:val="1"/>
      <w:numFmt w:val="bullet"/>
      <w:lvlText w:val=""/>
      <w:lvlJc w:val="left"/>
      <w:pPr>
        <w:ind w:left="720" w:hanging="360"/>
      </w:pPr>
      <w:rPr>
        <w:rFonts w:ascii="Symbol" w:eastAsiaTheme="minorHAnsi" w:hAnsi="Symbol" w:cs="Calibr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15:restartNumberingAfterBreak="0">
    <w:nsid w:val="7C232B9B"/>
    <w:multiLevelType w:val="multilevel"/>
    <w:tmpl w:val="4952645C"/>
    <w:lvl w:ilvl="0">
      <w:start w:val="1"/>
      <w:numFmt w:val="decimal"/>
      <w:pStyle w:val="Ttulo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043747275">
    <w:abstractNumId w:val="2"/>
  </w:num>
  <w:num w:numId="2" w16cid:durableId="498886491">
    <w:abstractNumId w:val="0"/>
  </w:num>
  <w:num w:numId="3" w16cid:durableId="8205116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1A09"/>
    <w:rsid w:val="000002DE"/>
    <w:rsid w:val="00001E36"/>
    <w:rsid w:val="00012213"/>
    <w:rsid w:val="000210FF"/>
    <w:rsid w:val="00021794"/>
    <w:rsid w:val="00023130"/>
    <w:rsid w:val="00053159"/>
    <w:rsid w:val="00054211"/>
    <w:rsid w:val="00073055"/>
    <w:rsid w:val="00097BE9"/>
    <w:rsid w:val="000B3431"/>
    <w:rsid w:val="000B69BD"/>
    <w:rsid w:val="000C53DC"/>
    <w:rsid w:val="000C6C5F"/>
    <w:rsid w:val="000D0AC9"/>
    <w:rsid w:val="000D72AB"/>
    <w:rsid w:val="000F6ACB"/>
    <w:rsid w:val="001337CD"/>
    <w:rsid w:val="00135C33"/>
    <w:rsid w:val="0014095C"/>
    <w:rsid w:val="00142DC9"/>
    <w:rsid w:val="001728F7"/>
    <w:rsid w:val="0019220D"/>
    <w:rsid w:val="00193D8B"/>
    <w:rsid w:val="001A147B"/>
    <w:rsid w:val="001B4746"/>
    <w:rsid w:val="001B7CF3"/>
    <w:rsid w:val="001E2DCE"/>
    <w:rsid w:val="001F1627"/>
    <w:rsid w:val="001F481E"/>
    <w:rsid w:val="00210328"/>
    <w:rsid w:val="00211960"/>
    <w:rsid w:val="00213828"/>
    <w:rsid w:val="00234374"/>
    <w:rsid w:val="002501A9"/>
    <w:rsid w:val="0025220D"/>
    <w:rsid w:val="002553B2"/>
    <w:rsid w:val="00256D20"/>
    <w:rsid w:val="00270507"/>
    <w:rsid w:val="00271943"/>
    <w:rsid w:val="0028234F"/>
    <w:rsid w:val="00291181"/>
    <w:rsid w:val="002929AA"/>
    <w:rsid w:val="00293458"/>
    <w:rsid w:val="002A1C96"/>
    <w:rsid w:val="002A287D"/>
    <w:rsid w:val="002A5DC7"/>
    <w:rsid w:val="002C2A90"/>
    <w:rsid w:val="002C4C30"/>
    <w:rsid w:val="002D0BDD"/>
    <w:rsid w:val="002D23DF"/>
    <w:rsid w:val="002D324E"/>
    <w:rsid w:val="002F1F38"/>
    <w:rsid w:val="002F61A4"/>
    <w:rsid w:val="00301081"/>
    <w:rsid w:val="003023AC"/>
    <w:rsid w:val="00302A6F"/>
    <w:rsid w:val="00304D17"/>
    <w:rsid w:val="003063AB"/>
    <w:rsid w:val="00307178"/>
    <w:rsid w:val="00311B8A"/>
    <w:rsid w:val="00311FD3"/>
    <w:rsid w:val="003410ED"/>
    <w:rsid w:val="00360CFA"/>
    <w:rsid w:val="00361DC7"/>
    <w:rsid w:val="00362259"/>
    <w:rsid w:val="00364790"/>
    <w:rsid w:val="003669D6"/>
    <w:rsid w:val="003728A6"/>
    <w:rsid w:val="00386A97"/>
    <w:rsid w:val="003B6072"/>
    <w:rsid w:val="003C08D4"/>
    <w:rsid w:val="003C7140"/>
    <w:rsid w:val="003E1301"/>
    <w:rsid w:val="003E3218"/>
    <w:rsid w:val="00412DBB"/>
    <w:rsid w:val="00414756"/>
    <w:rsid w:val="00424B2F"/>
    <w:rsid w:val="00426451"/>
    <w:rsid w:val="00432F58"/>
    <w:rsid w:val="00442D80"/>
    <w:rsid w:val="00451302"/>
    <w:rsid w:val="00463C6E"/>
    <w:rsid w:val="004729BE"/>
    <w:rsid w:val="00473F3A"/>
    <w:rsid w:val="00487D38"/>
    <w:rsid w:val="00496292"/>
    <w:rsid w:val="004B5C20"/>
    <w:rsid w:val="004C6385"/>
    <w:rsid w:val="004F627E"/>
    <w:rsid w:val="004F7A45"/>
    <w:rsid w:val="00513EAD"/>
    <w:rsid w:val="00515E70"/>
    <w:rsid w:val="0051728C"/>
    <w:rsid w:val="00564E0B"/>
    <w:rsid w:val="00581AC0"/>
    <w:rsid w:val="005851D6"/>
    <w:rsid w:val="00597E45"/>
    <w:rsid w:val="005A2E8F"/>
    <w:rsid w:val="005A37FB"/>
    <w:rsid w:val="005A5A17"/>
    <w:rsid w:val="005A65F5"/>
    <w:rsid w:val="005B35C5"/>
    <w:rsid w:val="005C6DBA"/>
    <w:rsid w:val="005E2306"/>
    <w:rsid w:val="00601D8D"/>
    <w:rsid w:val="0061280E"/>
    <w:rsid w:val="00632178"/>
    <w:rsid w:val="006403BB"/>
    <w:rsid w:val="00644C45"/>
    <w:rsid w:val="006678BC"/>
    <w:rsid w:val="00675E1D"/>
    <w:rsid w:val="0067630B"/>
    <w:rsid w:val="006864B1"/>
    <w:rsid w:val="006C170D"/>
    <w:rsid w:val="006C266C"/>
    <w:rsid w:val="006D661F"/>
    <w:rsid w:val="006F1479"/>
    <w:rsid w:val="006F15E0"/>
    <w:rsid w:val="00700CD4"/>
    <w:rsid w:val="0071725D"/>
    <w:rsid w:val="00723B0C"/>
    <w:rsid w:val="00744663"/>
    <w:rsid w:val="00757ED8"/>
    <w:rsid w:val="00773CB6"/>
    <w:rsid w:val="00795BB0"/>
    <w:rsid w:val="007A17EE"/>
    <w:rsid w:val="007B35DA"/>
    <w:rsid w:val="007B707C"/>
    <w:rsid w:val="007C1567"/>
    <w:rsid w:val="007F5D91"/>
    <w:rsid w:val="00822B7A"/>
    <w:rsid w:val="00824D2D"/>
    <w:rsid w:val="0082731E"/>
    <w:rsid w:val="008427D1"/>
    <w:rsid w:val="008504FB"/>
    <w:rsid w:val="0085755C"/>
    <w:rsid w:val="008644DC"/>
    <w:rsid w:val="00865703"/>
    <w:rsid w:val="00866A96"/>
    <w:rsid w:val="00873593"/>
    <w:rsid w:val="00882B32"/>
    <w:rsid w:val="008A0508"/>
    <w:rsid w:val="008B091D"/>
    <w:rsid w:val="008C7034"/>
    <w:rsid w:val="008D0AF7"/>
    <w:rsid w:val="008E0896"/>
    <w:rsid w:val="00901483"/>
    <w:rsid w:val="00905DEE"/>
    <w:rsid w:val="00932D6A"/>
    <w:rsid w:val="00934F1D"/>
    <w:rsid w:val="009351CF"/>
    <w:rsid w:val="009665D7"/>
    <w:rsid w:val="0096765D"/>
    <w:rsid w:val="0099182A"/>
    <w:rsid w:val="009B03B6"/>
    <w:rsid w:val="009C0470"/>
    <w:rsid w:val="009C592E"/>
    <w:rsid w:val="009C6122"/>
    <w:rsid w:val="009D0B9F"/>
    <w:rsid w:val="009D4FC5"/>
    <w:rsid w:val="009E76DC"/>
    <w:rsid w:val="00A00B36"/>
    <w:rsid w:val="00A05870"/>
    <w:rsid w:val="00A06E03"/>
    <w:rsid w:val="00A1513A"/>
    <w:rsid w:val="00A333A9"/>
    <w:rsid w:val="00A45D8D"/>
    <w:rsid w:val="00A46EAE"/>
    <w:rsid w:val="00A46ECF"/>
    <w:rsid w:val="00A53046"/>
    <w:rsid w:val="00A717C7"/>
    <w:rsid w:val="00A72B82"/>
    <w:rsid w:val="00A946EC"/>
    <w:rsid w:val="00AC5A02"/>
    <w:rsid w:val="00B129F6"/>
    <w:rsid w:val="00B25C53"/>
    <w:rsid w:val="00B273C1"/>
    <w:rsid w:val="00B3172C"/>
    <w:rsid w:val="00B53F63"/>
    <w:rsid w:val="00B565C4"/>
    <w:rsid w:val="00B57FC8"/>
    <w:rsid w:val="00B62980"/>
    <w:rsid w:val="00B6388F"/>
    <w:rsid w:val="00B65BCC"/>
    <w:rsid w:val="00B72079"/>
    <w:rsid w:val="00B724EE"/>
    <w:rsid w:val="00B95CE0"/>
    <w:rsid w:val="00C000DD"/>
    <w:rsid w:val="00C32CCB"/>
    <w:rsid w:val="00C810F1"/>
    <w:rsid w:val="00C85266"/>
    <w:rsid w:val="00C914A7"/>
    <w:rsid w:val="00C93231"/>
    <w:rsid w:val="00CA10DA"/>
    <w:rsid w:val="00CD1986"/>
    <w:rsid w:val="00CE5DAA"/>
    <w:rsid w:val="00CF07BD"/>
    <w:rsid w:val="00D0469C"/>
    <w:rsid w:val="00D11A09"/>
    <w:rsid w:val="00D14F8D"/>
    <w:rsid w:val="00D15AAA"/>
    <w:rsid w:val="00D37DDE"/>
    <w:rsid w:val="00D45F21"/>
    <w:rsid w:val="00D558D6"/>
    <w:rsid w:val="00D75F52"/>
    <w:rsid w:val="00DB33D9"/>
    <w:rsid w:val="00DB571E"/>
    <w:rsid w:val="00DB5799"/>
    <w:rsid w:val="00DC135D"/>
    <w:rsid w:val="00DC4597"/>
    <w:rsid w:val="00DC7B49"/>
    <w:rsid w:val="00DD330F"/>
    <w:rsid w:val="00E27E6B"/>
    <w:rsid w:val="00E364A2"/>
    <w:rsid w:val="00E64284"/>
    <w:rsid w:val="00E646EA"/>
    <w:rsid w:val="00E82C35"/>
    <w:rsid w:val="00EA0E23"/>
    <w:rsid w:val="00EA1D61"/>
    <w:rsid w:val="00EB4B26"/>
    <w:rsid w:val="00EC02B9"/>
    <w:rsid w:val="00EC60BF"/>
    <w:rsid w:val="00ED53D0"/>
    <w:rsid w:val="00ED60CE"/>
    <w:rsid w:val="00EE6908"/>
    <w:rsid w:val="00EF2653"/>
    <w:rsid w:val="00F026FE"/>
    <w:rsid w:val="00F05849"/>
    <w:rsid w:val="00F05B8D"/>
    <w:rsid w:val="00F10E06"/>
    <w:rsid w:val="00F25103"/>
    <w:rsid w:val="00F302C4"/>
    <w:rsid w:val="00F31B98"/>
    <w:rsid w:val="00F33955"/>
    <w:rsid w:val="00F4441E"/>
    <w:rsid w:val="00F505E9"/>
    <w:rsid w:val="00F508AC"/>
    <w:rsid w:val="00F63024"/>
    <w:rsid w:val="00F677F4"/>
    <w:rsid w:val="00F73977"/>
    <w:rsid w:val="00F7413A"/>
    <w:rsid w:val="00FC45FC"/>
    <w:rsid w:val="00FE1F46"/>
    <w:rsid w:val="00FE2724"/>
    <w:rsid w:val="030FB895"/>
    <w:rsid w:val="3B16F44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267637"/>
  <w15:chartTrackingRefBased/>
  <w15:docId w15:val="{0DD48A5B-FFEB-4A6B-9C3B-D3C9A2D9A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autoRedefine/>
    <w:uiPriority w:val="9"/>
    <w:qFormat/>
    <w:rsid w:val="00901483"/>
    <w:pPr>
      <w:keepNext/>
      <w:keepLines/>
      <w:spacing w:before="320" w:after="40" w:line="252" w:lineRule="auto"/>
      <w:jc w:val="center"/>
      <w:outlineLvl w:val="0"/>
    </w:pPr>
    <w:rPr>
      <w:rFonts w:asciiTheme="majorHAnsi" w:eastAsiaTheme="majorEastAsia" w:hAnsiTheme="majorHAnsi" w:cstheme="majorBidi"/>
      <w:b/>
      <w:bCs/>
      <w:caps/>
      <w:spacing w:val="4"/>
      <w:sz w:val="28"/>
      <w:szCs w:val="28"/>
    </w:rPr>
  </w:style>
  <w:style w:type="paragraph" w:styleId="Ttulo2">
    <w:name w:val="heading 2"/>
    <w:basedOn w:val="Normal"/>
    <w:next w:val="Normal"/>
    <w:link w:val="Ttulo2Car"/>
    <w:uiPriority w:val="9"/>
    <w:semiHidden/>
    <w:unhideWhenUsed/>
    <w:qFormat/>
    <w:rsid w:val="00D11A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Prrafodelista"/>
    <w:next w:val="Normal"/>
    <w:link w:val="Ttulo3Car"/>
    <w:autoRedefine/>
    <w:uiPriority w:val="9"/>
    <w:unhideWhenUsed/>
    <w:qFormat/>
    <w:rsid w:val="006678BC"/>
    <w:pPr>
      <w:numPr>
        <w:numId w:val="1"/>
      </w:numPr>
      <w:spacing w:before="120" w:after="120" w:line="252" w:lineRule="auto"/>
      <w:ind w:left="714" w:hanging="357"/>
      <w:jc w:val="both"/>
      <w:outlineLvl w:val="2"/>
    </w:pPr>
    <w:rPr>
      <w:i/>
      <w:iCs/>
    </w:rPr>
  </w:style>
  <w:style w:type="paragraph" w:styleId="Ttulo4">
    <w:name w:val="heading 4"/>
    <w:basedOn w:val="Normal"/>
    <w:next w:val="Normal"/>
    <w:link w:val="Ttulo4Car"/>
    <w:uiPriority w:val="9"/>
    <w:semiHidden/>
    <w:unhideWhenUsed/>
    <w:qFormat/>
    <w:rsid w:val="00D11A0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11A0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11A0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11A0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11A0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11A0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01483"/>
    <w:rPr>
      <w:rFonts w:asciiTheme="majorHAnsi" w:eastAsiaTheme="majorEastAsia" w:hAnsiTheme="majorHAnsi" w:cstheme="majorBidi"/>
      <w:b/>
      <w:bCs/>
      <w:caps/>
      <w:spacing w:val="4"/>
      <w:sz w:val="28"/>
      <w:szCs w:val="28"/>
    </w:rPr>
  </w:style>
  <w:style w:type="character" w:customStyle="1" w:styleId="Ttulo3Car">
    <w:name w:val="Título 3 Car"/>
    <w:basedOn w:val="Fuentedeprrafopredeter"/>
    <w:link w:val="Ttulo3"/>
    <w:uiPriority w:val="9"/>
    <w:rsid w:val="006678BC"/>
    <w:rPr>
      <w:i/>
      <w:iCs/>
    </w:rPr>
  </w:style>
  <w:style w:type="paragraph" w:styleId="Prrafodelista">
    <w:name w:val="List Paragraph"/>
    <w:basedOn w:val="Normal"/>
    <w:uiPriority w:val="34"/>
    <w:qFormat/>
    <w:rsid w:val="006678BC"/>
    <w:pPr>
      <w:ind w:left="720"/>
      <w:contextualSpacing/>
    </w:pPr>
  </w:style>
  <w:style w:type="character" w:customStyle="1" w:styleId="Ttulo2Car">
    <w:name w:val="Título 2 Car"/>
    <w:basedOn w:val="Fuentedeprrafopredeter"/>
    <w:link w:val="Ttulo2"/>
    <w:uiPriority w:val="9"/>
    <w:semiHidden/>
    <w:rsid w:val="00D11A09"/>
    <w:rPr>
      <w:rFonts w:asciiTheme="majorHAnsi" w:eastAsiaTheme="majorEastAsia" w:hAnsiTheme="majorHAnsi" w:cstheme="majorBidi"/>
      <w:color w:val="0F4761" w:themeColor="accent1" w:themeShade="BF"/>
      <w:sz w:val="32"/>
      <w:szCs w:val="32"/>
    </w:rPr>
  </w:style>
  <w:style w:type="character" w:customStyle="1" w:styleId="Ttulo4Car">
    <w:name w:val="Título 4 Car"/>
    <w:basedOn w:val="Fuentedeprrafopredeter"/>
    <w:link w:val="Ttulo4"/>
    <w:uiPriority w:val="9"/>
    <w:semiHidden/>
    <w:rsid w:val="00D11A0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11A0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11A0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11A0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11A0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11A09"/>
    <w:rPr>
      <w:rFonts w:eastAsiaTheme="majorEastAsia" w:cstheme="majorBidi"/>
      <w:color w:val="272727" w:themeColor="text1" w:themeTint="D8"/>
    </w:rPr>
  </w:style>
  <w:style w:type="paragraph" w:styleId="Ttulo">
    <w:name w:val="Title"/>
    <w:basedOn w:val="Normal"/>
    <w:next w:val="Normal"/>
    <w:link w:val="TtuloCar"/>
    <w:uiPriority w:val="10"/>
    <w:qFormat/>
    <w:rsid w:val="00D11A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11A0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11A0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11A0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11A09"/>
    <w:pPr>
      <w:spacing w:before="160"/>
      <w:jc w:val="center"/>
    </w:pPr>
    <w:rPr>
      <w:i/>
      <w:iCs/>
      <w:color w:val="404040" w:themeColor="text1" w:themeTint="BF"/>
    </w:rPr>
  </w:style>
  <w:style w:type="character" w:customStyle="1" w:styleId="CitaCar">
    <w:name w:val="Cita Car"/>
    <w:basedOn w:val="Fuentedeprrafopredeter"/>
    <w:link w:val="Cita"/>
    <w:uiPriority w:val="29"/>
    <w:rsid w:val="00D11A09"/>
    <w:rPr>
      <w:i/>
      <w:iCs/>
      <w:color w:val="404040" w:themeColor="text1" w:themeTint="BF"/>
    </w:rPr>
  </w:style>
  <w:style w:type="character" w:styleId="nfasisintenso">
    <w:name w:val="Intense Emphasis"/>
    <w:basedOn w:val="Fuentedeprrafopredeter"/>
    <w:uiPriority w:val="21"/>
    <w:qFormat/>
    <w:rsid w:val="00D11A09"/>
    <w:rPr>
      <w:i/>
      <w:iCs/>
      <w:color w:val="0F4761" w:themeColor="accent1" w:themeShade="BF"/>
    </w:rPr>
  </w:style>
  <w:style w:type="paragraph" w:styleId="Citadestacada">
    <w:name w:val="Intense Quote"/>
    <w:basedOn w:val="Normal"/>
    <w:next w:val="Normal"/>
    <w:link w:val="CitadestacadaCar"/>
    <w:uiPriority w:val="30"/>
    <w:qFormat/>
    <w:rsid w:val="00D11A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11A09"/>
    <w:rPr>
      <w:i/>
      <w:iCs/>
      <w:color w:val="0F4761" w:themeColor="accent1" w:themeShade="BF"/>
    </w:rPr>
  </w:style>
  <w:style w:type="character" w:styleId="Referenciaintensa">
    <w:name w:val="Intense Reference"/>
    <w:basedOn w:val="Fuentedeprrafopredeter"/>
    <w:uiPriority w:val="32"/>
    <w:qFormat/>
    <w:rsid w:val="00D11A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199</TotalTime>
  <Pages>3</Pages>
  <Words>889</Words>
  <Characters>5601</Characters>
  <Application>Microsoft Office Word</Application>
  <DocSecurity>0</DocSecurity>
  <Lines>76</Lines>
  <Paragraphs>3</Paragraphs>
  <ScaleCrop>false</ScaleCrop>
  <Company/>
  <LinksUpToDate>false</LinksUpToDate>
  <CharactersWithSpaces>6487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Camila Utreras</dc:creator>
  <cp:keywords/>
  <dc:description/>
  <cp:lastModifiedBy>Camila Utreras</cp:lastModifiedBy>
  <cp:revision>29</cp:revision>
  <dcterms:created xsi:type="dcterms:W3CDTF">2026-02-22T17:54:00Z</dcterms:created>
  <dcterms:modified xsi:type="dcterms:W3CDTF">2026-02-27T18:23:00Z</dcterms:modified>
</cp:coreProperties>
</file>