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3D75" w14:textId="77777777" w:rsidR="007B5914" w:rsidRDefault="007B5914" w:rsidP="007B5914">
      <w:pPr>
        <w:rPr>
          <w:b/>
        </w:rPr>
      </w:pPr>
    </w:p>
    <w:p w14:paraId="7050A125" w14:textId="77777777" w:rsidR="007B5914" w:rsidRDefault="007B5914" w:rsidP="007B5914">
      <w:r w:rsidRPr="007B5914">
        <w:rPr>
          <w:b/>
        </w:rPr>
        <w:t>REFERENCIAS BIBLIOGRÁFICAS</w:t>
      </w:r>
      <w:r>
        <w:t>:</w:t>
      </w:r>
    </w:p>
    <w:p w14:paraId="40D3F75E" w14:textId="77777777" w:rsidR="00C82391" w:rsidRPr="00E61C1C" w:rsidRDefault="006D2195" w:rsidP="00C82391">
      <w:pPr>
        <w:pStyle w:val="Bibliografa"/>
        <w:rPr>
          <w:rFonts w:ascii="Verdana" w:hAnsi="Verdana"/>
          <w:sz w:val="20"/>
          <w:lang w:val="en-US"/>
        </w:rPr>
      </w:pPr>
      <w:r>
        <w:rPr>
          <w:rFonts w:ascii="Verdana" w:eastAsia="Verdana" w:hAnsi="Verdana" w:cs="Verdana"/>
          <w:sz w:val="20"/>
          <w:szCs w:val="20"/>
        </w:rPr>
        <w:fldChar w:fldCharType="begin"/>
      </w:r>
      <w:r w:rsidRPr="00A118A8">
        <w:rPr>
          <w:rFonts w:ascii="Verdana" w:eastAsia="Verdana" w:hAnsi="Verdana" w:cs="Verdana"/>
          <w:sz w:val="20"/>
          <w:szCs w:val="20"/>
          <w:lang w:val="en-US"/>
        </w:rPr>
        <w:instrText xml:space="preserve"> ADDIN ZOTERO_BIBL {"uncited":[],"omitted":[],"custom":[]} CSL_BIBLIOGRAPHY </w:instrText>
      </w:r>
      <w:r>
        <w:rPr>
          <w:rFonts w:ascii="Verdana" w:eastAsia="Verdana" w:hAnsi="Verdana" w:cs="Verdana"/>
          <w:sz w:val="20"/>
          <w:szCs w:val="20"/>
        </w:rPr>
        <w:fldChar w:fldCharType="separate"/>
      </w:r>
      <w:r w:rsidR="00C82391">
        <w:rPr>
          <w:rFonts w:ascii="Verdana" w:hAnsi="Verdana"/>
          <w:sz w:val="20"/>
          <w:szCs w:val="20"/>
        </w:rPr>
        <w:fldChar w:fldCharType="begin"/>
      </w:r>
      <w:r w:rsidR="00C82391" w:rsidRPr="00E61C1C">
        <w:rPr>
          <w:rFonts w:ascii="Verdana" w:hAnsi="Verdana"/>
          <w:sz w:val="20"/>
          <w:szCs w:val="20"/>
          <w:lang w:val="en-US"/>
        </w:rPr>
        <w:instrText xml:space="preserve"> ADDIN ZOTERO_BIBL {"uncited":[],"omitted":[],"custom":[]} CSL_BIBLIOGRAPHY </w:instrText>
      </w:r>
      <w:r w:rsidR="00C82391">
        <w:rPr>
          <w:rFonts w:ascii="Verdana" w:hAnsi="Verdana"/>
          <w:sz w:val="20"/>
          <w:szCs w:val="20"/>
        </w:rPr>
        <w:fldChar w:fldCharType="separate"/>
      </w:r>
      <w:r w:rsidR="00C82391" w:rsidRPr="00E61C1C">
        <w:rPr>
          <w:rFonts w:ascii="Verdana" w:hAnsi="Verdana"/>
          <w:sz w:val="20"/>
          <w:lang w:val="en-US"/>
        </w:rPr>
        <w:t xml:space="preserve">American Educational Research Association, American Psychological Association, &amp; National Council on Measurement in Education. (2014). </w:t>
      </w:r>
      <w:r w:rsidR="00C82391" w:rsidRPr="00E61C1C">
        <w:rPr>
          <w:rFonts w:ascii="Verdana" w:hAnsi="Verdana"/>
          <w:i/>
          <w:iCs/>
          <w:sz w:val="20"/>
          <w:lang w:val="en-US"/>
        </w:rPr>
        <w:t>Standards for educational and psychological testing</w:t>
      </w:r>
      <w:r w:rsidR="00C82391" w:rsidRPr="00E61C1C">
        <w:rPr>
          <w:rFonts w:ascii="Verdana" w:hAnsi="Verdana"/>
          <w:sz w:val="20"/>
          <w:lang w:val="en-US"/>
        </w:rPr>
        <w:t>. American Educational Research Association.</w:t>
      </w:r>
    </w:p>
    <w:p w14:paraId="1EC59DD7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Arrow, K. J., &amp; Fisher, A. C. (1974). Environmental Preservation, Uncertainty, and Irreversibility. </w:t>
      </w:r>
      <w:r w:rsidRPr="00E61C1C">
        <w:rPr>
          <w:rFonts w:ascii="Verdana" w:hAnsi="Verdana"/>
          <w:i/>
          <w:iCs/>
          <w:sz w:val="20"/>
          <w:lang w:val="en-US"/>
        </w:rPr>
        <w:t>The Quarterly Journal of Economics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88</w:t>
      </w:r>
      <w:r w:rsidRPr="00E61C1C">
        <w:rPr>
          <w:rFonts w:ascii="Verdana" w:hAnsi="Verdana"/>
          <w:sz w:val="20"/>
          <w:lang w:val="en-US"/>
        </w:rPr>
        <w:t>(2), 312. https://doi.org/10.2307/1883074</w:t>
      </w:r>
    </w:p>
    <w:p w14:paraId="1E45043E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Brusilovsky, P. (2000). Adaptive Hypermedia: From Intelligent Tutoring Systems to Web-Based Education. En G. Gauthier, C. Frasson, &amp; K. VanLehn (Eds.), </w:t>
      </w:r>
      <w:r w:rsidRPr="00E61C1C">
        <w:rPr>
          <w:rFonts w:ascii="Verdana" w:hAnsi="Verdana"/>
          <w:i/>
          <w:iCs/>
          <w:sz w:val="20"/>
          <w:lang w:val="en-US"/>
        </w:rPr>
        <w:t>Intelligent Tutoring Systems</w:t>
      </w:r>
      <w:r w:rsidRPr="00E61C1C">
        <w:rPr>
          <w:rFonts w:ascii="Verdana" w:hAnsi="Verdana"/>
          <w:sz w:val="20"/>
          <w:lang w:val="en-US"/>
        </w:rPr>
        <w:t xml:space="preserve"> (Vol. 1839, pp. 1-7). Springer Berlin Heidelberg. https://doi.org/10.1007/3-540-45108-0_1</w:t>
      </w:r>
    </w:p>
    <w:p w14:paraId="58C08EC5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Brusilovsky, P., Schwarz, E., &amp; Weber, G. (1996). ELM-ART: An intelligent tutoring system on world wide web. En C. Frasson, G. Gauthier, &amp; A. Lesgold (Eds.), </w:t>
      </w:r>
      <w:r w:rsidRPr="00E61C1C">
        <w:rPr>
          <w:rFonts w:ascii="Verdana" w:hAnsi="Verdana"/>
          <w:i/>
          <w:iCs/>
          <w:sz w:val="20"/>
          <w:lang w:val="en-US"/>
        </w:rPr>
        <w:t>Intelligent Tutoring Systems</w:t>
      </w:r>
      <w:r w:rsidRPr="00E61C1C">
        <w:rPr>
          <w:rFonts w:ascii="Verdana" w:hAnsi="Verdana"/>
          <w:sz w:val="20"/>
          <w:lang w:val="en-US"/>
        </w:rPr>
        <w:t xml:space="preserve"> (Vol. 1086, pp. 261-269). Springer Berlin Heidelberg. https://doi.org/10.1007/3-540-61327-7_123</w:t>
      </w:r>
    </w:p>
    <w:p w14:paraId="6E320A02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Brusilovsky, P., &amp; Vassileva, J. (2003). Course sequencing techniques for large-scale web-based education. </w:t>
      </w:r>
      <w:r w:rsidRPr="00E61C1C">
        <w:rPr>
          <w:rFonts w:ascii="Verdana" w:hAnsi="Verdana"/>
          <w:i/>
          <w:iCs/>
          <w:sz w:val="20"/>
          <w:lang w:val="en-US"/>
        </w:rPr>
        <w:t>International Journal of Continuing Engineering Education and Life-Long Learning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13</w:t>
      </w:r>
      <w:r w:rsidRPr="00E61C1C">
        <w:rPr>
          <w:rFonts w:ascii="Verdana" w:hAnsi="Verdana"/>
          <w:sz w:val="20"/>
          <w:lang w:val="en-US"/>
        </w:rPr>
        <w:t>(1/2), 75. https://doi.org/10.1504/IJCEELL.2003.002154</w:t>
      </w:r>
    </w:p>
    <w:p w14:paraId="10B6E4E4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Clark, R. C., &amp; Mayer, R. E. (2003). </w:t>
      </w:r>
      <w:r w:rsidRPr="00E61C1C">
        <w:rPr>
          <w:rFonts w:ascii="Verdana" w:hAnsi="Verdana"/>
          <w:i/>
          <w:iCs/>
          <w:sz w:val="20"/>
          <w:lang w:val="en-US"/>
        </w:rPr>
        <w:t>E-Learning and the science of instruction: Proven guidelines for consumers and designers of multimedia learning</w:t>
      </w:r>
      <w:r w:rsidRPr="00E61C1C">
        <w:rPr>
          <w:rFonts w:ascii="Verdana" w:hAnsi="Verdana"/>
          <w:sz w:val="20"/>
          <w:lang w:val="en-US"/>
        </w:rPr>
        <w:t>. Pfeiffer.</w:t>
      </w:r>
    </w:p>
    <w:p w14:paraId="5377C389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Cronbach, L. J. (1951). Coefficient Alpha and the Internal Structure of Tests. </w:t>
      </w:r>
      <w:r w:rsidRPr="00E61C1C">
        <w:rPr>
          <w:rFonts w:ascii="Verdana" w:hAnsi="Verdana"/>
          <w:i/>
          <w:iCs/>
          <w:sz w:val="20"/>
          <w:lang w:val="en-US"/>
        </w:rPr>
        <w:t>Psychometrika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16</w:t>
      </w:r>
      <w:r w:rsidRPr="00E61C1C">
        <w:rPr>
          <w:rFonts w:ascii="Verdana" w:hAnsi="Verdana"/>
          <w:sz w:val="20"/>
          <w:lang w:val="en-US"/>
        </w:rPr>
        <w:t>(3), 297-334. https://doi.org/10.1007/BF02310555</w:t>
      </w:r>
    </w:p>
    <w:p w14:paraId="34954E44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DeStefano, D., &amp; LeFevre, J.-A. (2007). Cognitive load in hypertext reading: A review. </w:t>
      </w:r>
      <w:r w:rsidRPr="00E61C1C">
        <w:rPr>
          <w:rFonts w:ascii="Verdana" w:hAnsi="Verdana"/>
          <w:i/>
          <w:iCs/>
          <w:sz w:val="20"/>
          <w:lang w:val="en-US"/>
        </w:rPr>
        <w:t>Computers in Human Behavior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23</w:t>
      </w:r>
      <w:r w:rsidRPr="00E61C1C">
        <w:rPr>
          <w:rFonts w:ascii="Verdana" w:hAnsi="Verdana"/>
          <w:sz w:val="20"/>
          <w:lang w:val="en-US"/>
        </w:rPr>
        <w:t>(3), 1616-1641. https://doi.org/10.1016/j.chb.2005.08.012</w:t>
      </w:r>
    </w:p>
    <w:p w14:paraId="5EE844F8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Díaz-Núñez, F., Quezada, F., &amp; Vásquez, Ó. C. (2018). The knapsack problem with scheduled items. </w:t>
      </w:r>
      <w:r w:rsidRPr="00E61C1C">
        <w:rPr>
          <w:rFonts w:ascii="Verdana" w:hAnsi="Verdana"/>
          <w:i/>
          <w:iCs/>
          <w:sz w:val="20"/>
          <w:lang w:val="en-US"/>
        </w:rPr>
        <w:t>Electronic Notes in Discrete Mathematics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69</w:t>
      </w:r>
      <w:r w:rsidRPr="00E61C1C">
        <w:rPr>
          <w:rFonts w:ascii="Verdana" w:hAnsi="Verdana"/>
          <w:sz w:val="20"/>
          <w:lang w:val="en-US"/>
        </w:rPr>
        <w:t>, 293-300. https://doi.org/10.1016/j.endm.2018.07.038</w:t>
      </w:r>
    </w:p>
    <w:p w14:paraId="0FAAB5C3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Doignon, J.-P., &amp; Falmagne, J.-C. (1999). </w:t>
      </w:r>
      <w:r w:rsidRPr="00E61C1C">
        <w:rPr>
          <w:rFonts w:ascii="Verdana" w:hAnsi="Verdana"/>
          <w:i/>
          <w:iCs/>
          <w:sz w:val="20"/>
          <w:lang w:val="en-US"/>
        </w:rPr>
        <w:t>Knowledge Spaces</w:t>
      </w:r>
      <w:r w:rsidRPr="00E61C1C">
        <w:rPr>
          <w:rFonts w:ascii="Verdana" w:hAnsi="Verdana"/>
          <w:sz w:val="20"/>
          <w:lang w:val="en-US"/>
        </w:rPr>
        <w:t>. Springer Berlin Heidelberg. https://doi.org/10.1007/978-3-642-58625-5</w:t>
      </w:r>
    </w:p>
    <w:p w14:paraId="230BC140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</w:rPr>
        <w:t xml:space="preserve">Embretson, S. E., &amp; Reise, S. P. (2013). </w:t>
      </w:r>
      <w:r w:rsidRPr="00E61C1C">
        <w:rPr>
          <w:rFonts w:ascii="Verdana" w:hAnsi="Verdana"/>
          <w:i/>
          <w:iCs/>
          <w:sz w:val="20"/>
          <w:lang w:val="en-US"/>
        </w:rPr>
        <w:t>Item Response Theory</w:t>
      </w:r>
      <w:r w:rsidRPr="00E61C1C">
        <w:rPr>
          <w:rFonts w:ascii="Verdana" w:hAnsi="Verdana"/>
          <w:sz w:val="20"/>
          <w:lang w:val="en-US"/>
        </w:rPr>
        <w:t xml:space="preserve"> (0 ed.). Psychology Press. https://doi.org/10.4324/9781410605269</w:t>
      </w:r>
    </w:p>
    <w:p w14:paraId="15016BB3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Guo, P. (2014). One-Shot Decision Theory: A Fundamental Alternative for Decision Under Uncertainty. En P. Guo &amp; W. Pedrycz (Eds.), </w:t>
      </w:r>
      <w:r w:rsidRPr="00E61C1C">
        <w:rPr>
          <w:rFonts w:ascii="Verdana" w:hAnsi="Verdana"/>
          <w:i/>
          <w:iCs/>
          <w:sz w:val="20"/>
          <w:lang w:val="en-US"/>
        </w:rPr>
        <w:t>Human-Centric Decision-Making Models for Social Sciences</w:t>
      </w:r>
      <w:r w:rsidRPr="00E61C1C">
        <w:rPr>
          <w:rFonts w:ascii="Verdana" w:hAnsi="Verdana"/>
          <w:sz w:val="20"/>
          <w:lang w:val="en-US"/>
        </w:rPr>
        <w:t xml:space="preserve"> (Vol. 502, pp. 33-55). Springer Berlin Heidelberg. https://doi.org/10.1007/978-3-642-39307-5_2</w:t>
      </w:r>
    </w:p>
    <w:p w14:paraId="728D7563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lastRenderedPageBreak/>
        <w:t xml:space="preserve">Iyengar, S., Jiang, W., &amp; Huberman, G. (2004). How Much Choice Is Too Much? Contributions to 401(K) Retirement Plans. </w:t>
      </w:r>
      <w:r w:rsidRPr="00E61C1C">
        <w:rPr>
          <w:rFonts w:ascii="Verdana" w:hAnsi="Verdana"/>
          <w:i/>
          <w:iCs/>
          <w:sz w:val="20"/>
          <w:lang w:val="en-US"/>
        </w:rPr>
        <w:t>Pension Design and Structure: New Lessons from Behavioral Finance</w:t>
      </w:r>
      <w:r w:rsidRPr="00E61C1C">
        <w:rPr>
          <w:rFonts w:ascii="Verdana" w:hAnsi="Verdana"/>
          <w:sz w:val="20"/>
          <w:lang w:val="en-US"/>
        </w:rPr>
        <w:t>. https://doi.org/10.1093/0199273391.003.0005</w:t>
      </w:r>
    </w:p>
    <w:p w14:paraId="37DD3C1E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Iyengar, S., &amp; Lepper, M. (2001). When Choice is Demotivating: Can One Desire Too Much of a Good Thing? </w:t>
      </w:r>
      <w:r w:rsidRPr="00E61C1C">
        <w:rPr>
          <w:rFonts w:ascii="Verdana" w:hAnsi="Verdana"/>
          <w:i/>
          <w:iCs/>
          <w:sz w:val="20"/>
          <w:lang w:val="en-US"/>
        </w:rPr>
        <w:t>Journal of personality and social psychology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79</w:t>
      </w:r>
      <w:r w:rsidRPr="00E61C1C">
        <w:rPr>
          <w:rFonts w:ascii="Verdana" w:hAnsi="Verdana"/>
          <w:sz w:val="20"/>
          <w:lang w:val="en-US"/>
        </w:rPr>
        <w:t>, 995-1006. https://doi.org/10.1037/0022-3514.79.6.995</w:t>
      </w:r>
    </w:p>
    <w:p w14:paraId="3D582D21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Kalyuga, S., Ayres, P., Chandler, P., &amp; Sweller, J. (2003). The Expertise Reversal Effect. </w:t>
      </w:r>
      <w:r w:rsidRPr="00E61C1C">
        <w:rPr>
          <w:rFonts w:ascii="Verdana" w:hAnsi="Verdana"/>
          <w:i/>
          <w:iCs/>
          <w:sz w:val="20"/>
          <w:lang w:val="en-US"/>
        </w:rPr>
        <w:t>Educational Psychologist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38</w:t>
      </w:r>
      <w:r w:rsidRPr="00E61C1C">
        <w:rPr>
          <w:rFonts w:ascii="Verdana" w:hAnsi="Verdana"/>
          <w:sz w:val="20"/>
          <w:lang w:val="en-US"/>
        </w:rPr>
        <w:t>(1), 23-31. https://doi.org/10.1207/S15326985EP3801_4</w:t>
      </w:r>
    </w:p>
    <w:p w14:paraId="7AC829D8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Kellerer, H., Pferschy, U., &amp; Pisinger, D. (2004). Multidimensional Knapsack Problems. En H. Kellerer, U. Pferschy, &amp; D. Pisinger, </w:t>
      </w:r>
      <w:r w:rsidRPr="00E61C1C">
        <w:rPr>
          <w:rFonts w:ascii="Verdana" w:hAnsi="Verdana"/>
          <w:i/>
          <w:iCs/>
          <w:sz w:val="20"/>
          <w:lang w:val="en-US"/>
        </w:rPr>
        <w:t>Knapsack Problems</w:t>
      </w:r>
      <w:r w:rsidRPr="00E61C1C">
        <w:rPr>
          <w:rFonts w:ascii="Verdana" w:hAnsi="Verdana"/>
          <w:sz w:val="20"/>
          <w:lang w:val="en-US"/>
        </w:rPr>
        <w:t xml:space="preserve"> (pp. 235-283). Springer Berlin Heidelberg. https://doi.org/10.1007/978-3-540-24777-7_9</w:t>
      </w:r>
    </w:p>
    <w:p w14:paraId="6BFA4205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Kirschner, P. A., Sweller, J., &amp; Clark, R. E. (2006). Why Minimal Guidance During Instruction Does Not Work: An Analysis of the Failure of Constructivist, Discovery, Problem-Based, Experiential, and Inquiry-Based Teaching. </w:t>
      </w:r>
      <w:r w:rsidRPr="00E61C1C">
        <w:rPr>
          <w:rFonts w:ascii="Verdana" w:hAnsi="Verdana"/>
          <w:i/>
          <w:iCs/>
          <w:sz w:val="20"/>
          <w:lang w:val="en-US"/>
        </w:rPr>
        <w:t>Educational Psychologist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41</w:t>
      </w:r>
      <w:r w:rsidRPr="00E61C1C">
        <w:rPr>
          <w:rFonts w:ascii="Verdana" w:hAnsi="Verdana"/>
          <w:sz w:val="20"/>
          <w:lang w:val="en-US"/>
        </w:rPr>
        <w:t>(2), 75-86. https://doi.org/10.1207/s15326985ep4102_1</w:t>
      </w:r>
    </w:p>
    <w:p w14:paraId="7AC3B213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Knowles, M. S. (1984). </w:t>
      </w:r>
      <w:r w:rsidRPr="00E61C1C">
        <w:rPr>
          <w:rFonts w:ascii="Verdana" w:hAnsi="Verdana"/>
          <w:i/>
          <w:iCs/>
          <w:sz w:val="20"/>
          <w:lang w:val="en-US"/>
        </w:rPr>
        <w:t>The adult learner: A neglected species</w:t>
      </w:r>
      <w:r w:rsidRPr="00E61C1C">
        <w:rPr>
          <w:rFonts w:ascii="Verdana" w:hAnsi="Verdana"/>
          <w:sz w:val="20"/>
          <w:lang w:val="en-US"/>
        </w:rPr>
        <w:t xml:space="preserve"> (3rd ed). Gulf Pub. Co., Book Division.</w:t>
      </w:r>
    </w:p>
    <w:p w14:paraId="40937146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Krava, L., Ayal, S., &amp; Hochman, G. (2021). Time Is Money: The Effect of Mode-of-Thought on Financial Decision-Making. </w:t>
      </w:r>
      <w:r w:rsidRPr="00E61C1C">
        <w:rPr>
          <w:rFonts w:ascii="Verdana" w:hAnsi="Verdana"/>
          <w:i/>
          <w:iCs/>
          <w:sz w:val="20"/>
          <w:lang w:val="en-US"/>
        </w:rPr>
        <w:t>Frontiers in Psychology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12</w:t>
      </w:r>
      <w:r w:rsidRPr="00E61C1C">
        <w:rPr>
          <w:rFonts w:ascii="Verdana" w:hAnsi="Verdana"/>
          <w:sz w:val="20"/>
          <w:lang w:val="en-US"/>
        </w:rPr>
        <w:t>, 735823. https://doi.org/10.3389/fpsyg.2021.735823</w:t>
      </w:r>
    </w:p>
    <w:p w14:paraId="736D5355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Landerretche, O. M., &amp; Martínez, C. (2013). Voluntary savings, financial behavior, and pension finance literacy: Evidence from Chile. </w:t>
      </w:r>
      <w:r w:rsidRPr="00E61C1C">
        <w:rPr>
          <w:rFonts w:ascii="Verdana" w:hAnsi="Verdana"/>
          <w:i/>
          <w:iCs/>
          <w:sz w:val="20"/>
          <w:lang w:val="en-US"/>
        </w:rPr>
        <w:t>Journal of Pension Economics &amp; Finance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12</w:t>
      </w:r>
      <w:r w:rsidRPr="00E61C1C">
        <w:rPr>
          <w:rFonts w:ascii="Verdana" w:hAnsi="Verdana"/>
          <w:sz w:val="20"/>
          <w:lang w:val="en-US"/>
        </w:rPr>
        <w:t>(3), 251-297. https://doi.org/10.1017/S1474747212000340</w:t>
      </w:r>
    </w:p>
    <w:p w14:paraId="4422D9F7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Mayer, R. E. (2009). </w:t>
      </w:r>
      <w:r w:rsidRPr="00E61C1C">
        <w:rPr>
          <w:rFonts w:ascii="Verdana" w:hAnsi="Verdana"/>
          <w:i/>
          <w:iCs/>
          <w:sz w:val="20"/>
          <w:lang w:val="en-US"/>
        </w:rPr>
        <w:t>Multimedia Learning</w:t>
      </w:r>
      <w:r w:rsidRPr="00E61C1C">
        <w:rPr>
          <w:rFonts w:ascii="Verdana" w:hAnsi="Verdana"/>
          <w:sz w:val="20"/>
          <w:lang w:val="en-US"/>
        </w:rPr>
        <w:t xml:space="preserve"> (2.</w:t>
      </w:r>
      <w:r w:rsidRPr="00E61C1C">
        <w:rPr>
          <w:rFonts w:ascii="Verdana" w:hAnsi="Verdana"/>
          <w:sz w:val="20"/>
          <w:vertAlign w:val="superscript"/>
          <w:lang w:val="en-US"/>
        </w:rPr>
        <w:t>a</w:t>
      </w:r>
      <w:r w:rsidRPr="00E61C1C">
        <w:rPr>
          <w:rFonts w:ascii="Verdana" w:hAnsi="Verdana"/>
          <w:sz w:val="20"/>
          <w:lang w:val="en-US"/>
        </w:rPr>
        <w:t xml:space="preserve"> ed.). Cambridge University Press. https://doi.org/10.1017/CBO9780511811678</w:t>
      </w:r>
    </w:p>
    <w:p w14:paraId="0810BCC3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Mayer, R. E. (Ed.). (2014). </w:t>
      </w:r>
      <w:r w:rsidRPr="00E61C1C">
        <w:rPr>
          <w:rFonts w:ascii="Verdana" w:hAnsi="Verdana"/>
          <w:i/>
          <w:iCs/>
          <w:sz w:val="20"/>
          <w:lang w:val="en-US"/>
        </w:rPr>
        <w:t>The Cambridge handbook of multimedia learning</w:t>
      </w:r>
      <w:r w:rsidRPr="00E61C1C">
        <w:rPr>
          <w:rFonts w:ascii="Verdana" w:hAnsi="Verdana"/>
          <w:sz w:val="20"/>
          <w:lang w:val="en-US"/>
        </w:rPr>
        <w:t xml:space="preserve"> (Second edition). Cambridge University Press. https://doi.org/10.1017/CBO9781139547369</w:t>
      </w:r>
    </w:p>
    <w:p w14:paraId="05264B20" w14:textId="77777777" w:rsidR="00C82391" w:rsidRPr="00E61C1C" w:rsidRDefault="00C82391" w:rsidP="00C82391">
      <w:pPr>
        <w:pStyle w:val="Bibliografa"/>
        <w:rPr>
          <w:rFonts w:ascii="Verdana" w:hAnsi="Verdana"/>
          <w:sz w:val="20"/>
          <w:lang w:val="en-US"/>
        </w:rPr>
      </w:pPr>
      <w:r w:rsidRPr="00E61C1C">
        <w:rPr>
          <w:rFonts w:ascii="Verdana" w:hAnsi="Verdana"/>
          <w:sz w:val="20"/>
          <w:lang w:val="en-US"/>
        </w:rPr>
        <w:t xml:space="preserve">Paas, F., Renkl, A., &amp; Sweller, J. (2003). Cognitive Load Theory and Instructional Design: Recent Developments. </w:t>
      </w:r>
      <w:r w:rsidRPr="00E61C1C">
        <w:rPr>
          <w:rFonts w:ascii="Verdana" w:hAnsi="Verdana"/>
          <w:i/>
          <w:iCs/>
          <w:sz w:val="20"/>
          <w:lang w:val="en-US"/>
        </w:rPr>
        <w:t>Educational Psychologist</w:t>
      </w:r>
      <w:r w:rsidRPr="00E61C1C">
        <w:rPr>
          <w:rFonts w:ascii="Verdana" w:hAnsi="Verdana"/>
          <w:sz w:val="20"/>
          <w:lang w:val="en-US"/>
        </w:rPr>
        <w:t xml:space="preserve">, </w:t>
      </w:r>
      <w:r w:rsidRPr="00E61C1C">
        <w:rPr>
          <w:rFonts w:ascii="Verdana" w:hAnsi="Verdana"/>
          <w:i/>
          <w:iCs/>
          <w:sz w:val="20"/>
          <w:lang w:val="en-US"/>
        </w:rPr>
        <w:t>38</w:t>
      </w:r>
      <w:r w:rsidRPr="00E61C1C">
        <w:rPr>
          <w:rFonts w:ascii="Verdana" w:hAnsi="Verdana"/>
          <w:sz w:val="20"/>
          <w:lang w:val="en-US"/>
        </w:rPr>
        <w:t>(1), 1-4. https://doi.org/10.1207/S15326985EP3801_1</w:t>
      </w:r>
    </w:p>
    <w:p w14:paraId="291CCCA3" w14:textId="77777777" w:rsidR="00C82391" w:rsidRPr="00E61C1C" w:rsidRDefault="00C82391" w:rsidP="00C82391">
      <w:pPr>
        <w:pStyle w:val="Bibliografa"/>
        <w:rPr>
          <w:rFonts w:ascii="Verdana" w:hAnsi="Verdana"/>
          <w:sz w:val="20"/>
        </w:rPr>
      </w:pPr>
      <w:r w:rsidRPr="00E61C1C">
        <w:rPr>
          <w:rFonts w:ascii="Verdana" w:hAnsi="Verdana"/>
          <w:sz w:val="20"/>
          <w:lang w:val="en-US"/>
        </w:rPr>
        <w:t xml:space="preserve">Schwartz, B. (2004). The Paradox Of Choice: Why More Is Less. </w:t>
      </w:r>
      <w:r w:rsidRPr="00E61C1C">
        <w:rPr>
          <w:rFonts w:ascii="Verdana" w:hAnsi="Verdana"/>
          <w:i/>
          <w:iCs/>
          <w:sz w:val="20"/>
        </w:rPr>
        <w:t>The Paradox Of Choice: Why More Is Less</w:t>
      </w:r>
      <w:r w:rsidRPr="00E61C1C">
        <w:rPr>
          <w:rFonts w:ascii="Verdana" w:hAnsi="Verdana"/>
          <w:sz w:val="20"/>
        </w:rPr>
        <w:t>. https://works.swarthmore.edu/fac-psychology/198</w:t>
      </w:r>
    </w:p>
    <w:p w14:paraId="50E36407" w14:textId="77777777" w:rsidR="00C82391" w:rsidRPr="00E61C1C" w:rsidRDefault="00C82391" w:rsidP="00C82391">
      <w:pPr>
        <w:pStyle w:val="Bibliografa"/>
        <w:rPr>
          <w:rFonts w:ascii="Verdana" w:hAnsi="Verdana"/>
          <w:sz w:val="20"/>
        </w:rPr>
      </w:pPr>
      <w:r w:rsidRPr="00E61C1C">
        <w:rPr>
          <w:rFonts w:ascii="Verdana" w:hAnsi="Verdana"/>
          <w:sz w:val="20"/>
        </w:rPr>
        <w:t xml:space="preserve">Sweller, J. (1988). Cognitive Load During Problem Solving: Effects on Learning. </w:t>
      </w:r>
      <w:r w:rsidRPr="00E61C1C">
        <w:rPr>
          <w:rFonts w:ascii="Verdana" w:hAnsi="Verdana"/>
          <w:i/>
          <w:iCs/>
          <w:sz w:val="20"/>
        </w:rPr>
        <w:t>Cognitive Science</w:t>
      </w:r>
      <w:r w:rsidRPr="00E61C1C">
        <w:rPr>
          <w:rFonts w:ascii="Verdana" w:hAnsi="Verdana"/>
          <w:sz w:val="20"/>
        </w:rPr>
        <w:t xml:space="preserve">, </w:t>
      </w:r>
      <w:r w:rsidRPr="00E61C1C">
        <w:rPr>
          <w:rFonts w:ascii="Verdana" w:hAnsi="Verdana"/>
          <w:i/>
          <w:iCs/>
          <w:sz w:val="20"/>
        </w:rPr>
        <w:t>12</w:t>
      </w:r>
      <w:r w:rsidRPr="00E61C1C">
        <w:rPr>
          <w:rFonts w:ascii="Verdana" w:hAnsi="Verdana"/>
          <w:sz w:val="20"/>
        </w:rPr>
        <w:t>(2), 257-285. https://doi.org/10.1207/s15516709cog1202_4</w:t>
      </w:r>
    </w:p>
    <w:p w14:paraId="3E814014" w14:textId="77777777" w:rsidR="00C82391" w:rsidRPr="00E61C1C" w:rsidRDefault="00C82391" w:rsidP="00C82391">
      <w:pPr>
        <w:pStyle w:val="Bibliografa"/>
        <w:rPr>
          <w:rFonts w:ascii="Verdana" w:hAnsi="Verdana"/>
          <w:sz w:val="20"/>
        </w:rPr>
      </w:pPr>
      <w:r w:rsidRPr="00E61C1C">
        <w:rPr>
          <w:rFonts w:ascii="Verdana" w:hAnsi="Verdana"/>
          <w:sz w:val="20"/>
        </w:rPr>
        <w:t xml:space="preserve">Sweller, J. (2011). Cognitive Load Theory. En </w:t>
      </w:r>
      <w:r w:rsidRPr="00E61C1C">
        <w:rPr>
          <w:rFonts w:ascii="Verdana" w:hAnsi="Verdana"/>
          <w:i/>
          <w:iCs/>
          <w:sz w:val="20"/>
        </w:rPr>
        <w:t>Psychology of Learning and Motivation</w:t>
      </w:r>
      <w:r w:rsidRPr="00E61C1C">
        <w:rPr>
          <w:rFonts w:ascii="Verdana" w:hAnsi="Verdana"/>
          <w:sz w:val="20"/>
        </w:rPr>
        <w:t xml:space="preserve"> (Vol. 55, pp. 37-76). Elsevier. https://doi.org/10.1016/B978-0-12-387691-1.00002-8</w:t>
      </w:r>
    </w:p>
    <w:p w14:paraId="19E94D21" w14:textId="7F840971" w:rsidR="007B5914" w:rsidRPr="00C82391" w:rsidRDefault="00C82391" w:rsidP="00C82391">
      <w:pPr>
        <w:pStyle w:val="Bibliografa"/>
        <w:rPr>
          <w:b/>
          <w:bCs/>
          <w:lang w:val="en-US"/>
        </w:rPr>
      </w:pPr>
      <w:r>
        <w:rPr>
          <w:rFonts w:ascii="Verdana" w:hAnsi="Verdana"/>
          <w:sz w:val="20"/>
          <w:szCs w:val="20"/>
        </w:rPr>
        <w:fldChar w:fldCharType="end"/>
      </w:r>
      <w:r w:rsidR="006D2195" w:rsidRPr="00C82391">
        <w:rPr>
          <w:rFonts w:ascii="Verdana" w:hAnsi="Verdana"/>
          <w:i/>
          <w:iCs/>
          <w:sz w:val="20"/>
          <w:lang w:val="en-US"/>
        </w:rPr>
        <w:t>Cognitive Science</w:t>
      </w:r>
      <w:r w:rsidR="006D2195" w:rsidRPr="00C82391">
        <w:rPr>
          <w:rFonts w:ascii="Verdana" w:hAnsi="Verdana"/>
          <w:sz w:val="20"/>
          <w:lang w:val="en-US"/>
        </w:rPr>
        <w:t xml:space="preserve">, </w:t>
      </w:r>
      <w:r w:rsidR="006D2195" w:rsidRPr="00C82391">
        <w:rPr>
          <w:rFonts w:ascii="Verdana" w:hAnsi="Verdana"/>
          <w:i/>
          <w:iCs/>
          <w:sz w:val="20"/>
          <w:lang w:val="en-US"/>
        </w:rPr>
        <w:t>12</w:t>
      </w:r>
      <w:r w:rsidR="006D2195" w:rsidRPr="00C82391">
        <w:rPr>
          <w:rFonts w:ascii="Verdana" w:hAnsi="Verdana"/>
          <w:sz w:val="20"/>
          <w:lang w:val="en-US"/>
        </w:rPr>
        <w:t>(2), 257-285. https://doi.org/10.1207/s15516709cog1202_4</w:t>
      </w:r>
      <w:r w:rsidR="006D2195">
        <w:rPr>
          <w:rFonts w:ascii="Verdana" w:eastAsia="Verdana" w:hAnsi="Verdana" w:cs="Verdana"/>
          <w:sz w:val="20"/>
          <w:szCs w:val="20"/>
        </w:rPr>
        <w:fldChar w:fldCharType="end"/>
      </w:r>
    </w:p>
    <w:sectPr w:rsidR="007B5914" w:rsidRPr="00C8239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433C" w14:textId="77777777" w:rsidR="007F77B6" w:rsidRDefault="007F77B6" w:rsidP="007B5914">
      <w:pPr>
        <w:spacing w:after="0" w:line="240" w:lineRule="auto"/>
      </w:pPr>
      <w:r>
        <w:separator/>
      </w:r>
    </w:p>
  </w:endnote>
  <w:endnote w:type="continuationSeparator" w:id="0">
    <w:p w14:paraId="47718910" w14:textId="77777777" w:rsidR="007F77B6" w:rsidRDefault="007F77B6" w:rsidP="007B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D752" w14:textId="77777777" w:rsidR="007F77B6" w:rsidRDefault="007F77B6" w:rsidP="007B5914">
      <w:pPr>
        <w:spacing w:after="0" w:line="240" w:lineRule="auto"/>
      </w:pPr>
      <w:r>
        <w:separator/>
      </w:r>
    </w:p>
  </w:footnote>
  <w:footnote w:type="continuationSeparator" w:id="0">
    <w:p w14:paraId="17C27406" w14:textId="77777777" w:rsidR="007F77B6" w:rsidRDefault="007F77B6" w:rsidP="007B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0C84" w14:textId="77777777" w:rsidR="007B5914" w:rsidRDefault="007B5914" w:rsidP="007B5914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33BDE0DC" wp14:editId="16683669">
          <wp:extent cx="1123562" cy="455306"/>
          <wp:effectExtent l="0" t="0" r="635" b="190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203" cy="46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A8FAF2" w14:textId="2C62154C" w:rsidR="007B5914" w:rsidRPr="007B5914" w:rsidRDefault="007B5914" w:rsidP="007B5914">
    <w:pPr>
      <w:pStyle w:val="Encabezado"/>
      <w:jc w:val="center"/>
      <w:rPr>
        <w:b/>
      </w:rPr>
    </w:pPr>
    <w:r w:rsidRPr="007B5914">
      <w:rPr>
        <w:b/>
      </w:rPr>
      <w:t>CONCURSO INTERNO DE INVESTIGACIÓN 20</w:t>
    </w:r>
    <w:r w:rsidR="00384746">
      <w:rPr>
        <w:b/>
      </w:rPr>
      <w:t>2</w:t>
    </w:r>
    <w:r w:rsidR="00786721">
      <w:rPr>
        <w:b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4"/>
    <w:rsid w:val="000D2E8D"/>
    <w:rsid w:val="001942FC"/>
    <w:rsid w:val="002C4A51"/>
    <w:rsid w:val="00384746"/>
    <w:rsid w:val="00553640"/>
    <w:rsid w:val="0060568E"/>
    <w:rsid w:val="006D2195"/>
    <w:rsid w:val="006DA400"/>
    <w:rsid w:val="00786721"/>
    <w:rsid w:val="007B5914"/>
    <w:rsid w:val="007F77B6"/>
    <w:rsid w:val="00976784"/>
    <w:rsid w:val="00B849E0"/>
    <w:rsid w:val="00C679DE"/>
    <w:rsid w:val="00C82391"/>
    <w:rsid w:val="00CC5EF6"/>
    <w:rsid w:val="00CD010D"/>
    <w:rsid w:val="00D76B95"/>
    <w:rsid w:val="00E17429"/>
    <w:rsid w:val="00EE1A3E"/>
    <w:rsid w:val="09806BA3"/>
    <w:rsid w:val="09B92981"/>
    <w:rsid w:val="0B54F9E2"/>
    <w:rsid w:val="0CC8ED28"/>
    <w:rsid w:val="0E8C9AA4"/>
    <w:rsid w:val="0F1B1171"/>
    <w:rsid w:val="104C7FDD"/>
    <w:rsid w:val="11C14709"/>
    <w:rsid w:val="1631D383"/>
    <w:rsid w:val="1812903B"/>
    <w:rsid w:val="19AE609C"/>
    <w:rsid w:val="19DBE35E"/>
    <w:rsid w:val="1A1FBD95"/>
    <w:rsid w:val="1BBB8DF6"/>
    <w:rsid w:val="1CA11507"/>
    <w:rsid w:val="1CA89CEB"/>
    <w:rsid w:val="22840BC8"/>
    <w:rsid w:val="33C76581"/>
    <w:rsid w:val="392DFF9B"/>
    <w:rsid w:val="3BD27766"/>
    <w:rsid w:val="3D28AEC8"/>
    <w:rsid w:val="3D2CE745"/>
    <w:rsid w:val="3E0170BE"/>
    <w:rsid w:val="3E12C960"/>
    <w:rsid w:val="3EE56BD8"/>
    <w:rsid w:val="3FE83E93"/>
    <w:rsid w:val="414A6A22"/>
    <w:rsid w:val="41840EF4"/>
    <w:rsid w:val="4FBB526F"/>
    <w:rsid w:val="515722D0"/>
    <w:rsid w:val="541C21A8"/>
    <w:rsid w:val="65D60359"/>
    <w:rsid w:val="68896D21"/>
    <w:rsid w:val="68CB6FB3"/>
    <w:rsid w:val="6C031075"/>
    <w:rsid w:val="6D5CDE44"/>
    <w:rsid w:val="6E6E8EF1"/>
    <w:rsid w:val="6F82BD1C"/>
    <w:rsid w:val="74FCBA4E"/>
    <w:rsid w:val="78DB4521"/>
    <w:rsid w:val="79A39D2E"/>
    <w:rsid w:val="7BC55F5E"/>
    <w:rsid w:val="7BD3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3B32"/>
  <w15:chartTrackingRefBased/>
  <w15:docId w15:val="{F7A40841-0E8E-426C-9060-02FC737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3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14"/>
  </w:style>
  <w:style w:type="paragraph" w:styleId="Piedepgina">
    <w:name w:val="footer"/>
    <w:basedOn w:val="Normal"/>
    <w:link w:val="Piedepgina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14"/>
  </w:style>
  <w:style w:type="paragraph" w:styleId="Bibliografa">
    <w:name w:val="Bibliography"/>
    <w:basedOn w:val="Normal"/>
    <w:next w:val="Normal"/>
    <w:uiPriority w:val="37"/>
    <w:unhideWhenUsed/>
    <w:rsid w:val="006D2195"/>
  </w:style>
  <w:style w:type="character" w:customStyle="1" w:styleId="Ttulo5Car">
    <w:name w:val="Título 5 Car"/>
    <w:basedOn w:val="Fuentedeprrafopredeter"/>
    <w:link w:val="Ttulo5"/>
    <w:uiPriority w:val="9"/>
    <w:semiHidden/>
    <w:rsid w:val="00C82391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C3910858CC74FA382C223E8308CA0" ma:contentTypeVersion="15" ma:contentTypeDescription="Crear nuevo documento." ma:contentTypeScope="" ma:versionID="da56ede95ad97ec4b2ace4c30f6d3d51">
  <xsd:schema xmlns:xsd="http://www.w3.org/2001/XMLSchema" xmlns:xs="http://www.w3.org/2001/XMLSchema" xmlns:p="http://schemas.microsoft.com/office/2006/metadata/properties" xmlns:ns2="2257f51e-0501-4296-ad18-68d314902e61" xmlns:ns3="e5d38cd4-fa77-4a8c-a531-d031735af598" targetNamespace="http://schemas.microsoft.com/office/2006/metadata/properties" ma:root="true" ma:fieldsID="8881ea1d4dd791ff052f2de7b76af078" ns2:_="" ns3:_="">
    <xsd:import namespace="2257f51e-0501-4296-ad18-68d314902e61"/>
    <xsd:import namespace="e5d38cd4-fa77-4a8c-a531-d031735af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f51e-0501-4296-ad18-68d314902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38cd4-fa77-4a8c-a531-d031735af5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dd1f6-7667-4588-a536-4c2a19d126d6}" ma:internalName="TaxCatchAll" ma:showField="CatchAllData" ma:web="e5d38cd4-fa77-4a8c-a531-d031735af5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d38cd4-fa77-4a8c-a531-d031735af598" xsi:nil="true"/>
    <lcf76f155ced4ddcb4097134ff3c332f xmlns="2257f51e-0501-4296-ad18-68d314902e6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CFB8C4-AEFD-4D1B-96D5-0EB23EC64B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f51e-0501-4296-ad18-68d314902e61"/>
    <ds:schemaRef ds:uri="e5d38cd4-fa77-4a8c-a531-d031735af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934A8C-B249-46B4-B05C-16C3EA01FDE9}">
  <ds:schemaRefs>
    <ds:schemaRef ds:uri="http://schemas.microsoft.com/office/2006/metadata/properties"/>
    <ds:schemaRef ds:uri="http://schemas.microsoft.com/office/infopath/2007/PartnerControls"/>
    <ds:schemaRef ds:uri="e5d38cd4-fa77-4a8c-a531-d031735af598"/>
    <ds:schemaRef ds:uri="2257f51e-0501-4296-ad18-68d314902e61"/>
  </ds:schemaRefs>
</ds:datastoreItem>
</file>

<file path=customXml/itemProps3.xml><?xml version="1.0" encoding="utf-8"?>
<ds:datastoreItem xmlns:ds="http://schemas.openxmlformats.org/officeDocument/2006/customXml" ds:itemID="{34F319E2-A962-4E8B-AD86-FACF492FA0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818</Words>
  <Characters>4505</Characters>
  <Application>Microsoft Office Word</Application>
  <DocSecurity>0</DocSecurity>
  <Lines>37</Lines>
  <Paragraphs>10</Paragraphs>
  <ScaleCrop>false</ScaleCrop>
  <Company>Hewlett-Packard Company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Ballivian</dc:creator>
  <cp:keywords/>
  <dc:description/>
  <cp:lastModifiedBy>Camila Utreras</cp:lastModifiedBy>
  <cp:revision>11</cp:revision>
  <dcterms:created xsi:type="dcterms:W3CDTF">2019-06-27T15:47:00Z</dcterms:created>
  <dcterms:modified xsi:type="dcterms:W3CDTF">2025-09-24T18:00:00Z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0x01010060BC3910858CC74FA382C223E8308CA0</vt:lpwstr>
  </property>
  <property fmtid="{D5CDD505-2E9C-101B-9397-08002B2CF9AE}" pid="3" name="MediaServiceImageTags">
    <vt:lpwstr/>
  </property>
</Properties>
</file>