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Renta_Vitalicia</w:t>
      </w:r>
    </w:p>
    <w:p>
      <w:r>
        <w:t>¿Es estrictamente necesario el concepto “¿A”, para comprender el concepto de Renta Vitalicia?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