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Requisitos RVI RP</w:t>
      </w:r>
    </w:p>
    <w:p>
      <w:r>
        <w:t>Definición: Para optar por esta modalidad combinada, el afiliado debe cumplir los requisitos generales de pensión (edad mínima legal y saldo mínimo), contar con fondos suficientes para financiar ambas partes (RV y RP) y haber tramitado ofertas a través del SCOMP.</w:t>
      </w:r>
    </w:p>
    <w:p>
      <w:r>
        <w:t>¿Para comprender el concepto “Requisitos RVI RP”, es necesario conocer los siguientes conceptos?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Contenido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Que es pension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Renta Vitalicia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Retiro Programado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RVI RP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r>
        <w:br/>
        <w:t>Otros conceptos que considere necesarios:</w:t>
      </w:r>
    </w:p>
    <w:p>
      <w:r>
        <w:t>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