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Quien Recibe Herencia</w:t>
      </w:r>
    </w:p>
    <w:p>
      <w:r>
        <w:t>Definición: Los herederos legales se determinan según el Código Civil y el orden sucesorio: Cónyuge o conviviente civil e hijos (herederos de primer rango). Padres o ascendientes, si no hay hijos. Hermanos, y eventualmente sobrinos. Parientes colaterales hasta el sexto grado. Si hay testamento válido, puede modificar la distribución legal dentro de lo permitido. Si no hay herederos legales, el Estado recibe los fondos.</w:t>
      </w:r>
    </w:p>
    <w:p>
      <w:r>
        <w:t>¿Para comprender el concepto “Quien Recibe Herencia”,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Saldo Cuenta Individual</w:t>
            </w:r>
          </w:p>
        </w:tc>
        <w:tc>
          <w:tcPr>
            <w:tcW w:type="dxa" w:w="2880"/>
          </w:tcPr>
          <w:p>
            <w:r/>
          </w:p>
        </w:tc>
        <w:tc>
          <w:tcPr>
            <w:tcW w:type="dxa" w:w="2880"/>
          </w:tcPr>
          <w:p>
            <w:r/>
          </w:p>
        </w:tc>
      </w:tr>
      <w:tr>
        <w:tc>
          <w:tcPr>
            <w:tcW w:type="dxa" w:w="2880"/>
          </w:tcPr>
          <w:p>
            <w:r>
              <w:t>Beneficiarios Legales</w:t>
            </w:r>
          </w:p>
        </w:tc>
        <w:tc>
          <w:tcPr>
            <w:tcW w:type="dxa" w:w="2880"/>
          </w:tcPr>
          <w:p>
            <w:r/>
          </w:p>
        </w:tc>
        <w:tc>
          <w:tcPr>
            <w:tcW w:type="dxa" w:w="2880"/>
          </w:tcPr>
          <w:p>
            <w:r/>
          </w:p>
        </w:tc>
      </w:tr>
      <w:tr>
        <w:tc>
          <w:tcPr>
            <w:tcW w:type="dxa" w:w="2880"/>
          </w:tcPr>
          <w:p>
            <w:r>
              <w:t>Pension Sobrevivencia</w:t>
            </w:r>
          </w:p>
        </w:tc>
        <w:tc>
          <w:tcPr>
            <w:tcW w:type="dxa" w:w="2880"/>
          </w:tcPr>
          <w:p>
            <w:r/>
          </w:p>
        </w:tc>
        <w:tc>
          <w:tcPr>
            <w:tcW w:type="dxa" w:w="2880"/>
          </w:tcPr>
          <w:p>
            <w:r/>
          </w:p>
        </w:tc>
      </w:tr>
      <w:tr>
        <w:tc>
          <w:tcPr>
            <w:tcW w:type="dxa" w:w="2880"/>
          </w:tcPr>
          <w:p>
            <w:r>
              <w:t>Herencia</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