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Requisitos_RVI_RP</w:t>
      </w:r>
    </w:p>
    <w:p>
      <w:r>
        <w:t>¿Es estrictamente necesario el concepto “¿A”, para comprender el concepto de Requisitos RVI RP?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N°</w:t>
            </w:r>
          </w:p>
        </w:tc>
        <w:tc>
          <w:tcPr>
            <w:tcW w:type="dxa" w:w="2160"/>
          </w:tcPr>
          <w:p>
            <w:r>
              <w:t>Contenido</w:t>
            </w:r>
          </w:p>
        </w:tc>
        <w:tc>
          <w:tcPr>
            <w:tcW w:type="dxa" w:w="2160"/>
          </w:tcPr>
          <w:p>
            <w:r>
              <w:t>Si</w:t>
            </w:r>
          </w:p>
        </w:tc>
        <w:tc>
          <w:tcPr>
            <w:tcW w:type="dxa" w:w="2160"/>
          </w:tcPr>
          <w:p>
            <w:r>
              <w:t>No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 xml:space="preserve">Que_es_pension 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 xml:space="preserve">Cotizaciones_previsionales 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Definicion_SCOMP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Certificado_de_Saldo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Renta_Vitalicia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Division_Fondos_RVI_RP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