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Tratamiento Tributario ELD</w:t>
      </w:r>
    </w:p>
    <w:p>
      <w:r>
        <w:t>Definición: Los retiros de ELD pueden estar exentos de impuestos, según límites tributarios establecidos: Hasta 200 UTM al año, acumulando un máximo total de 1.200 UTM. Como alternativa, un retiro único de 800 UTM está exento. Si se exceden estos límites, el excedente tributa como renta global complementaria. Los aportes recientes (menos de 48 meses) o depósitos convenidos no pueden acogerse a la exención y tributan íntegramente.</w:t>
      </w:r>
    </w:p>
    <w:p>
      <w:r>
        <w:t>¿Para comprender el concepto “Tratamiento Tributario ELD”,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ELD</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