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Impacto Pension ELD</w:t>
      </w:r>
    </w:p>
    <w:p>
      <w:r>
        <w:t>Definición: Al retirar el excedente, se reduce el capital en la cuenta individual, lo cual puede disminuir la pensión futura, especialmente si se usa la modalidad Retiro Programado. Además, puede generar un recálculo extraordinario de la pensión al mes siguiente tras el retiro.</w:t>
      </w:r>
    </w:p>
    <w:p>
      <w:r>
        <w:t>¿Para comprender el concepto “Impacto Pension ELD”,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ELD</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