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Проблема</w:t>
      </w:r>
    </w:p>
    <w:p>
      <w:r>
        <w:t>Пользователи пропускают до 40 % важных уведомлений, потому что получают их без приоритизации.</w:t>
      </w:r>
    </w:p>
    <w:p>
      <w:pPr>
        <w:pStyle w:val="Heading1"/>
      </w:pPr>
      <w:r>
        <w:t>Решение</w:t>
      </w:r>
    </w:p>
    <w:p>
      <w:pPr>
        <w:pStyle w:val="ListBullet"/>
      </w:pPr>
      <w:r>
        <w:t>Приоритизация по контексту</w:t>
      </w:r>
    </w:p>
    <w:p>
      <w:pPr>
        <w:pStyle w:val="ListBullet"/>
      </w:pPr>
      <w:r>
        <w:t>Единый центр уведомлений</w:t>
      </w:r>
    </w:p>
    <w:p>
      <w:pPr>
        <w:pStyle w:val="ListBullet"/>
      </w:pPr>
      <w:r>
        <w:t>Тихие часы</w:t>
      </w:r>
    </w:p>
    <w:p>
      <w:pPr>
        <w:pStyle w:val="Heading1"/>
      </w:pPr>
      <w:r>
        <w:t>Результат пилота</w:t>
      </w:r>
    </w:p>
    <w:p>
      <w:r>
        <w:t>Экономия составила 12,5 млн ₽ за год при росте открываемости с 31 % до 44 %.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