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Умные уведомления: итоги пилота</w:t>
      </w:r>
    </w:p>
    <w:p>
      <w:pPr>
        <w:pStyle w:val="Heading2"/>
      </w:pPr>
      <w:r>
        <w:t>Проблема</w:t>
      </w:r>
    </w:p>
    <w:p>
      <w:r>
        <w:t>Пользователи пропускают до 40 % важных уведомлений, потому что получают их без приоритизации: в среднем 27 уведомлений в день на человека.</w:t>
      </w:r>
    </w:p>
    <w:p>
      <w:pPr>
        <w:pStyle w:val="Heading2"/>
      </w:pPr>
      <w:r>
        <w:t>Решение</w:t>
      </w:r>
    </w:p>
    <w:p>
      <w:pPr>
        <w:pStyle w:val="ListBullet"/>
      </w:pPr>
      <w:r>
        <w:t>Приоритизация по контексту: важные уведомления поднимаются наверх</w:t>
      </w:r>
    </w:p>
    <w:p>
      <w:pPr>
        <w:pStyle w:val="ListBullet"/>
      </w:pPr>
      <w:r>
        <w:t>Единый центр уведомлений вместо трёх разрозненных каналов</w:t>
      </w:r>
    </w:p>
    <w:p>
      <w:pPr>
        <w:pStyle w:val="ListBullet"/>
      </w:pPr>
      <w:r>
        <w:t>Тихие часы с отложенной доставкой</w:t>
      </w:r>
    </w:p>
    <w:p>
      <w:pPr>
        <w:pStyle w:val="Heading2"/>
      </w:pPr>
      <w:r>
        <w:t>Результаты пилота</w:t>
      </w:r>
    </w:p>
    <w:p>
      <w:r>
        <w:t>Пилот шёл с мая по июль 2026 года в трёх регионах. Открываемость выросла с 31 % до 44 %, доля отписок снизилась с 4,1 % до 2,7 %. Экономия на поддержке составила 12,5 млн ₽ за год при затратах на пилот 2,4 млн ₽.</w:t>
      </w:r>
    </w:p>
    <w:p>
      <w:pPr>
        <w:pStyle w:val="Quote"/>
      </w:pPr>
      <w:r>
        <w:t>«Впервые уведомления стали помогать, а не отвлекать», — руководитель службы поддержки региона «Север».</w:t>
      </w:r>
    </w:p>
    <w:p>
      <w:pPr>
        <w:pStyle w:val="Heading2"/>
      </w:pPr>
      <w:r>
        <w:t>План на квартал</w:t>
      </w:r>
    </w:p>
    <w:p>
      <w:pPr>
        <w:pStyle w:val="ListNumber"/>
      </w:pPr>
      <w:r>
        <w:t>Октябрь: подключение двух новых продуктов</w:t>
      </w:r>
    </w:p>
    <w:p>
      <w:pPr>
        <w:pStyle w:val="ListNumber"/>
      </w:pPr>
      <w:r>
        <w:t>Ноябрь: персональные тихие часы</w:t>
      </w:r>
    </w:p>
    <w:p>
      <w:pPr>
        <w:pStyle w:val="ListNumber"/>
      </w:pPr>
      <w:r>
        <w:t>Декабрь: расширение на все регионы, цель — 60 % открываемости</w:t>
      </w:r>
    </w:p>
    <w:p>
      <w:pPr>
        <w:pStyle w:val="Caption"/>
      </w:pPr>
      <w:r>
        <w:t>Рисунок 1. Центр уведомлений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