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с таблицей и рисунком</w:t>
      </w:r>
    </w:p>
    <w:p>
      <w:r>
        <w:t>Выручка компании «Ромашка» за 2025 год выросла на 25 % год к году.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Квартал</w:t>
            </w:r>
          </w:p>
        </w:tc>
        <w:tc>
          <w:tcPr>
            <w:tcW w:type="dxa" w:w="2880"/>
          </w:tcPr>
          <w:p>
            <w:r>
              <w:t>Выручка, млн ₽</w:t>
            </w:r>
          </w:p>
        </w:tc>
        <w:tc>
          <w:tcPr>
            <w:tcW w:type="dxa" w:w="2880"/>
          </w:tcPr>
          <w:p>
            <w:r>
              <w:t>Клиенты</w:t>
            </w:r>
          </w:p>
        </w:tc>
      </w:tr>
      <w:tr>
        <w:tc>
          <w:tcPr>
            <w:tcW w:type="dxa" w:w="2880"/>
          </w:tcPr>
          <w:p>
            <w:r>
              <w:t>1 кв.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1 200</w:t>
            </w:r>
          </w:p>
        </w:tc>
      </w:tr>
      <w:tr>
        <w:tc>
          <w:tcPr>
            <w:tcW w:type="dxa" w:w="2880"/>
          </w:tcPr>
          <w:p>
            <w:r>
              <w:t>2 кв.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1 450</w:t>
            </w:r>
          </w:p>
        </w:tc>
      </w:tr>
    </w:tbl>
    <w:p>
      <w:pPr>
        <w:pStyle w:val="Caption"/>
      </w:pPr>
      <w:r>
        <w:t>Рисунок 1. Динамика открываемости</w:t>
      </w:r>
    </w:p>
    <w:p>
      <w:r>
        <w:drawing>
          <wp:inline xmlns:a="http://schemas.openxmlformats.org/drawingml/2006/main" xmlns:pic="http://schemas.openxmlformats.org/drawingml/2006/picture">
            <wp:extent cx="36576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