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A2540"/>
          <w:sz w:val="96"/>
          <w:szCs w:val="96"/>
        </w:rPr>
        <w:t xml:space="preserve">CUVR</w:t>
      </w:r>
    </w:p>
    <w:p>
      <w:pPr>
        <w:spacing w:after="300"/>
        <w:jc w:val="center"/>
      </w:pPr>
      <w:r>
        <w:rPr>
          <w:color w:val="00A685"/>
          <w:sz w:val="44"/>
          <w:szCs w:val="44"/>
        </w:rPr>
        <w:t xml:space="preserve">90-Day Validation Plan</w:t>
      </w:r>
    </w:p>
    <w:p>
      <w:pPr>
        <w:spacing w:after="600"/>
        <w:jc w:val="center"/>
      </w:pPr>
      <w:r>
        <w:rPr>
          <w:i/>
          <w:iCs/>
          <w:color w:val="64748B"/>
          <w:sz w:val="24"/>
          <w:szCs w:val="24"/>
        </w:rPr>
        <w:t xml:space="preserve">Gamified VR Rehabilitation  ·  Dubai, UAE</w:t>
      </w:r>
    </w:p>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Goal: by Day 90, three signed pilot agreements with clinics or hospitals, one anchor clinical advisor, MVP product live in two real clinical environments, and a financial model proven against 30+ days of real session data.</w:t>
            </w:r>
          </w:p>
        </w:tc>
      </w:tr>
    </w:tbl>
    <w:p>
      <w:pPr>
        <w:pStyle w:val="Heading1"/>
        <w:pageBreakBefore/>
      </w:pPr>
      <w:r>
        <w:rPr>
          <w:color w:val="0A2540"/>
        </w:rPr>
        <w:t xml:space="preserve">Executive Summary</w:t>
      </w:r>
    </w:p>
    <w:p>
      <w:pPr>
        <w:spacing w:after="120"/>
      </w:pPr>
      <w:r>
        <w:t xml:space="preserve">This 90-day plan is engineered to do one thing: convert CUVR from a strong concept into a venture-ready, evidence-bearing healthtech company. Everything in the plan serves three concurrent objectives — clinical credibility, commercial validation, and capital efficiency. Anything that does not directly serve those objectives has been excluded.</w:t>
      </w:r>
    </w:p>
    <w:p>
      <w:pPr>
        <w:spacing w:after="120"/>
      </w:pPr>
      <w:r>
        <w:t xml:space="preserve">The plan is organized into three 30-day phases. Phase 1 (Days 1–30) is a discovery phase — the goal is not to sell, but to learn fast and recruit a clinical co-conspirator. Phase 2 (Days 31–60) is a build-and-pilot phase — get a working MVP into the hands of two real clinics. Phase 3 (Days 61–90) is a conversion phase — turn pilot data into signed contracts and a defensible Series Seed narrative.</w:t>
      </w:r>
    </w:p>
    <w:p>
      <w:pPr>
        <w:spacing w:after="120"/>
      </w:pPr>
      <w:r>
        <w:rPr>
          <w:i/>
          <w:iCs/>
        </w:rPr>
        <w:t xml:space="preserve">By the end of Day 90 you will have either decisively validated the business and earned the right to raise a Seed round, or learned exactly which assumption was wrong and pivoted with minimal sunk cost. This plan is designed to fail fast where failure is information, and to compound quickly where signal is positive.</w:t>
      </w:r>
    </w:p>
    <w:p>
      <w:pPr>
        <w:pStyle w:val="Heading2"/>
      </w:pPr>
      <w:r>
        <w:rPr>
          <w:color w:val="0A2540"/>
        </w:rPr>
        <w:t xml:space="preserve">Three success gates</w:t>
      </w:r>
    </w:p>
    <w:p>
      <w:pPr>
        <w:pStyle w:val="ListParagraph"/>
        <w:numPr>
          <w:ilvl w:val="0"/>
          <w:numId w:val="2"/>
        </w:numPr>
        <w:spacing w:after="80"/>
      </w:pPr>
      <w:r>
        <w:t xml:space="preserve">Day 30: Clinical advisor secured, 25+ customer discovery interviews completed, and clear go/no-go on top three indications.</w:t>
      </w:r>
    </w:p>
    <w:p>
      <w:pPr>
        <w:pStyle w:val="ListParagraph"/>
        <w:numPr>
          <w:ilvl w:val="0"/>
          <w:numId w:val="2"/>
        </w:numPr>
        <w:spacing w:after="80"/>
      </w:pPr>
      <w:r>
        <w:t xml:space="preserve">Day 60: MVP live in two clinics, 50+ patient sessions logged, signed LOIs from at least three clinics.</w:t>
      </w:r>
    </w:p>
    <w:p>
      <w:pPr>
        <w:pStyle w:val="ListParagraph"/>
        <w:numPr>
          <w:ilvl w:val="0"/>
          <w:numId w:val="2"/>
        </w:numPr>
        <w:spacing w:after="80"/>
      </w:pPr>
      <w:r>
        <w:t xml:space="preserve">Day 90: Three signed paid pilot contracts, anonymized outcome data, and Seed pitch deck v1.0 with traction.</w:t>
      </w:r>
    </w:p>
    <w:p>
      <w:pPr>
        <w:pStyle w:val="Heading1"/>
        <w:pageBreakBefore/>
      </w:pPr>
      <w:r>
        <w:rPr>
          <w:color w:val="0A2540"/>
        </w:rPr>
        <w:t xml:space="preserve">Phase 1  ·  Days 1–30  ·  Discovery and Foundation</w:t>
      </w:r>
    </w:p>
    <w:p>
      <w:pPr>
        <w:spacing w:after="120"/>
      </w:pPr>
      <w:r>
        <w:t xml:space="preserve">The single most common failure mode for healthtech founders is shipping the wrong product to the wrong customer. Phase 1 is your insurance policy against that. You are explicitly forbidden from selling, demoing, or pitching during this phase. You are listening, learning, and recruiting.</w:t>
      </w:r>
    </w:p>
    <w:p>
      <w:pPr>
        <w:pStyle w:val="Heading2"/>
      </w:pPr>
      <w:r>
        <w:rPr>
          <w:color w:val="0A2540"/>
        </w:rPr>
        <w:t xml:space="preserve">Phase 1 Objectives</w:t>
      </w:r>
    </w:p>
    <w:p>
      <w:pPr>
        <w:pStyle w:val="ListParagraph"/>
        <w:numPr>
          <w:ilvl w:val="0"/>
          <w:numId w:val="2"/>
        </w:numPr>
        <w:spacing w:after="80"/>
      </w:pPr>
      <w:r>
        <w:t xml:space="preserve">Recruit one clinical co-founder or advisor with hospital admitting privileges in Dubai.</w:t>
      </w:r>
    </w:p>
    <w:p>
      <w:pPr>
        <w:pStyle w:val="ListParagraph"/>
        <w:numPr>
          <w:ilvl w:val="0"/>
          <w:numId w:val="2"/>
        </w:numPr>
        <w:spacing w:after="80"/>
      </w:pPr>
      <w:r>
        <w:t xml:space="preserve">Complete 25+ customer discovery interviews across three buyer personas: clinic owners, rehab department heads, and senior physiotherapists.</w:t>
      </w:r>
    </w:p>
    <w:p>
      <w:pPr>
        <w:pStyle w:val="ListParagraph"/>
        <w:numPr>
          <w:ilvl w:val="0"/>
          <w:numId w:val="2"/>
        </w:numPr>
        <w:spacing w:after="80"/>
      </w:pPr>
      <w:r>
        <w:t xml:space="preserve">Validate (or invalidate) the wedge indication — most likely post-stroke upper-limb rehabilitation or post-surgical knee rehab.</w:t>
      </w:r>
    </w:p>
    <w:p>
      <w:pPr>
        <w:pStyle w:val="ListParagraph"/>
        <w:numPr>
          <w:ilvl w:val="0"/>
          <w:numId w:val="2"/>
        </w:numPr>
        <w:spacing w:after="80"/>
      </w:pPr>
      <w:r>
        <w:t xml:space="preserve">Set up legal and corporate foundations: Dubai Healthcare City (DHCC) or Dubai Science Park (DSP) entity, IP assignment agreements, founder equity split.</w:t>
      </w:r>
    </w:p>
    <w:p>
      <w:pPr>
        <w:pStyle w:val="ListParagraph"/>
        <w:numPr>
          <w:ilvl w:val="0"/>
          <w:numId w:val="2"/>
        </w:numPr>
        <w:spacing w:after="80"/>
      </w:pPr>
      <w:r>
        <w:t xml:space="preserve">Initial regulatory mapping with a DHA medical device consultant — understand, do not yet apply.</w:t>
      </w:r>
    </w:p>
    <w:p>
      <w:pPr>
        <w:pStyle w:val="Heading3"/>
      </w:pPr>
      <w:r>
        <w:rPr>
          <w:color w:val="0A2540"/>
        </w:rPr>
        <w:t xml:space="preserve">Week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1</w:t>
            </w:r>
          </w:p>
          <w:p>
            <w:r>
              <w:rPr>
                <w:i/>
                <w:iCs/>
                <w:color w:val="B6E5D8"/>
                <w:sz w:val="20"/>
                <w:szCs w:val="20"/>
              </w:rPr>
              <w:t xml:space="preserve">Setup, target list, and outreach engine</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Confirm CUVR brand, secure trademark search in UAE (engage Al Tamimi or Clyde &amp; Co for 1-day check). Reserve domain, social handles.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Tue</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Engage company formation agent for DHCC or DSP free zone setup. Compare costs (DHCC ~AED 15K base + 8K commercial license; DSP slightly lower but less healthcare cred).</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Wed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Build the customer discovery target list: 30 clinics, 10 hospitals, 8 home-care providers (see Appendix A for starter list).</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Thu</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Write the discovery interview script. Five questions, max 30 minutes. NEVER pitch — you are doing job-to-be-done research.</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Send first wave of 30 outreach messages via LinkedIn and email. Target booking 10 calls in week 2.</w:t>
            </w:r>
          </w:p>
        </w:tc>
      </w:tr>
    </w:tbl>
    <w:p>
      <w:pPr>
        <w:pStyle w:val="Heading3"/>
      </w:pPr>
      <w:r>
        <w:rPr>
          <w:color w:val="0A2540"/>
        </w:rPr>
        <w:t xml:space="preserve">Week 2  ·  Listen and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2</w:t>
            </w:r>
          </w:p>
          <w:p>
            <w:r>
              <w:rPr>
                <w:i/>
                <w:iCs/>
                <w:color w:val="B6E5D8"/>
                <w:sz w:val="20"/>
                <w:szCs w:val="20"/>
              </w:rPr>
              <w:t xml:space="preserve">Customer discovery interviews — wave 1</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Goal</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Complete 8–10 interviews this week.</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Two to three calls per day. Block 1 hour per call (30 min interview + 30 min note-taking and synthesis).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Mon-Wed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Specifically target Tier 1 specialty rehab clinic owners and managers (fastest decision-makers).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Thu-Fri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Begin contacting hospital rehab department heads — these conversations will take longer to close so start scheduling now.</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EOW</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Synthesize first 8 interviews into a one-page learnings doc. What jobs are they trying to do? What do they hate about current workflow? What would they pay for?</w:t>
            </w:r>
          </w:p>
        </w:tc>
      </w:tr>
    </w:tbl>
    <w:p>
      <w:pPr>
        <w:pStyle w:val="Heading3"/>
      </w:pPr>
      <w:r>
        <w:rPr>
          <w:color w:val="0A2540"/>
        </w:rPr>
        <w:t xml:space="preserve">Week 3  ·  Clinical advisor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3</w:t>
            </w:r>
          </w:p>
          <w:p>
            <w:r>
              <w:rPr>
                <w:i/>
                <w:iCs/>
                <w:color w:val="B6E5D8"/>
                <w:sz w:val="20"/>
                <w:szCs w:val="20"/>
              </w:rPr>
              <w:t xml:space="preserve">Find your clinical co-conspirator</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Identify 10 candidate clinical advisors. Look for: practicing physiatrist, neurologist, or senior physiotherapist with publication record AND hospital affiliation.</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Mon-Wed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Outreach via LinkedIn, mutual connections, and referrals from your discovery interviews ('Whose opinion would you trust on this?').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Wed-Thu</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Continue customer interviews — wave 2 (target another 8 interviews this week). Now starting to test specific feature hypotheses.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Thu-Fri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First-round meetings with 3–4 candidate advisors. Frame as 'I want your honest read' not 'I'm raising'.</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EOW</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Pick top 2 advisor candidates. Begin drafting advisory agreement (typical: 0.25–0.5% equity vesting over 24 months for ~4 hours/month commitment).</w:t>
            </w:r>
          </w:p>
        </w:tc>
      </w:tr>
    </w:tbl>
    <w:p>
      <w:pPr>
        <w:pStyle w:val="Heading3"/>
      </w:pPr>
      <w:r>
        <w:rPr>
          <w:color w:val="0A2540"/>
        </w:rPr>
        <w:t xml:space="preserve">Week 4  ·  Synthesize and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4</w:t>
            </w:r>
          </w:p>
          <w:p>
            <w:r>
              <w:rPr>
                <w:i/>
                <w:iCs/>
                <w:color w:val="B6E5D8"/>
                <w:sz w:val="20"/>
                <w:szCs w:val="20"/>
              </w:rPr>
              <w:t xml:space="preserve">Decision week — wedge, advisor, MVP scope</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Mon-Tue</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Final batch of 6–9 customer interviews to hit target of 25+ for the phase.</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Wed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Synthesis day. Lock in the wedge indication. Most likely candidates: post-stroke upper-limb (strongest evidence + reimbursement) or post-op TKR/ACL (highest volume + cleanest billing).</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Thu</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Sign clinical advisor agreement. Schedule weekly 1-hour syncs.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Write Phase 1 retrospective. What did you learn? What surprised you? What changed about your hypothesis?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EOW</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Begin MVP scoping document. Hand off to development with strict scope: ONE indication, THREE protocols, ONE outcome metric.</w:t>
            </w:r>
          </w:p>
        </w:tc>
      </w:tr>
    </w:tbl>
    <w:p>
      <w:pPr>
        <w:pStyle w:val="Heading2"/>
      </w:pPr>
      <w:r>
        <w:rPr>
          <w:color w:val="0A2540"/>
        </w:rPr>
        <w:t xml:space="preserve">Phase 1 Deliverables</w:t>
      </w:r>
    </w:p>
    <w:p>
      <w:pPr>
        <w:pStyle w:val="ListParagraph"/>
        <w:numPr>
          <w:ilvl w:val="0"/>
          <w:numId w:val="2"/>
        </w:numPr>
        <w:spacing w:after="80"/>
      </w:pPr>
      <w:r>
        <w:t xml:space="preserve">Customer discovery synthesis (8–12 page Word doc with verbatim quotes, themes, and decisions).</w:t>
      </w:r>
    </w:p>
    <w:p>
      <w:pPr>
        <w:pStyle w:val="ListParagraph"/>
        <w:numPr>
          <w:ilvl w:val="0"/>
          <w:numId w:val="2"/>
        </w:numPr>
        <w:spacing w:after="80"/>
      </w:pPr>
      <w:r>
        <w:t xml:space="preserve">Signed clinical advisor agreement with weekly engagement cadence.</w:t>
      </w:r>
    </w:p>
    <w:p>
      <w:pPr>
        <w:pStyle w:val="ListParagraph"/>
        <w:numPr>
          <w:ilvl w:val="0"/>
          <w:numId w:val="2"/>
        </w:numPr>
        <w:spacing w:after="80"/>
      </w:pPr>
      <w:r>
        <w:t xml:space="preserve">Dubai entity registered in DHCC or DSP with corporate bank account opened.</w:t>
      </w:r>
    </w:p>
    <w:p>
      <w:pPr>
        <w:pStyle w:val="ListParagraph"/>
        <w:numPr>
          <w:ilvl w:val="0"/>
          <w:numId w:val="2"/>
        </w:numPr>
        <w:spacing w:after="80"/>
      </w:pPr>
      <w:r>
        <w:t xml:space="preserve">Final MVP scope document — locked for the next 30 days.</w:t>
      </w:r>
    </w:p>
    <w:p>
      <w:pPr>
        <w:pStyle w:val="ListParagraph"/>
        <w:numPr>
          <w:ilvl w:val="0"/>
          <w:numId w:val="2"/>
        </w:numPr>
        <w:spacing w:after="80"/>
      </w:pPr>
      <w:r>
        <w:t xml:space="preserve">Trademark search complete and CUVR brand cleared (or pivoted).</w:t>
      </w:r>
    </w:p>
    <w:p>
      <w:pPr>
        <w:pStyle w:val="Heading2"/>
      </w:pPr>
      <w:r>
        <w:rPr>
          <w:color w:val="0A2540"/>
        </w:rPr>
        <w:t xml:space="preserve">Phase 1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000"/>
        <w:gridCol w:w="2000"/>
      </w:tblGrid>
      <w:tr>
        <w:trPr>
          <w:tblHeader/>
        </w:trPr>
        <w:tc>
          <w:tcPr>
            <w:tcW w:type="dxa" w:w="336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Milestone</w:t>
            </w:r>
          </w:p>
        </w:tc>
        <w:tc>
          <w:tcPr>
            <w:tcW w:type="dxa" w:w="400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Target</w:t>
            </w:r>
          </w:p>
        </w:tc>
        <w:tc>
          <w:tcPr>
            <w:tcW w:type="dxa" w:w="200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Status / Owner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Free zone setup + license</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25,000 – 35,000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Trademark search + filing</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5,000 – 8,000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 + Legal</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Travel, meals during interviews</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4,000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Domain, software, basic ops</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3,000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Total Phase 1</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37,000 – 50,000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w:t>
            </w:r>
          </w:p>
        </w:tc>
      </w:tr>
    </w:tbl>
    <w:p>
      <w:pPr>
        <w:pStyle w:val="Heading1"/>
        <w:pageBreakBefore/>
      </w:pPr>
      <w:r>
        <w:rPr>
          <w:color w:val="0A2540"/>
        </w:rPr>
        <w:t xml:space="preserve">Phase 2  ·  Days 31–60  ·  Build and Pilot</w:t>
      </w:r>
    </w:p>
    <w:p>
      <w:pPr>
        <w:spacing w:after="120"/>
      </w:pPr>
      <w:r>
        <w:t xml:space="preserve">Phase 2 is where you stop talking and start shipping. The goal is to get a working MVP — not a finished product, an MVP — into two real clinics with real patients within 30 days. The single biggest predictor of healthtech failure at this stage is over-engineering before market validation. Resist that.</w:t>
      </w:r>
    </w:p>
    <w:p>
      <w:pPr>
        <w:pStyle w:val="Heading2"/>
      </w:pPr>
      <w:r>
        <w:rPr>
          <w:color w:val="0A2540"/>
        </w:rPr>
        <w:t xml:space="preserve">Phase 2 Objectives</w:t>
      </w:r>
    </w:p>
    <w:p>
      <w:pPr>
        <w:pStyle w:val="ListParagraph"/>
        <w:numPr>
          <w:ilvl w:val="0"/>
          <w:numId w:val="2"/>
        </w:numPr>
        <w:spacing w:after="80"/>
      </w:pPr>
      <w:r>
        <w:t xml:space="preserve">Ship MVP v0.1: one indication, three protocols, one outcomes dashboard.</w:t>
      </w:r>
    </w:p>
    <w:p>
      <w:pPr>
        <w:pStyle w:val="ListParagraph"/>
        <w:numPr>
          <w:ilvl w:val="0"/>
          <w:numId w:val="2"/>
        </w:numPr>
        <w:spacing w:after="80"/>
      </w:pPr>
      <w:r>
        <w:t xml:space="preserve">Sign two no-cost pilot agreements (your customer discovery interviews from Phase 1 should yield at least 5 candidates).</w:t>
      </w:r>
    </w:p>
    <w:p>
      <w:pPr>
        <w:pStyle w:val="ListParagraph"/>
        <w:numPr>
          <w:ilvl w:val="0"/>
          <w:numId w:val="2"/>
        </w:numPr>
        <w:spacing w:after="80"/>
      </w:pPr>
      <w:r>
        <w:t xml:space="preserve">Onboard two pilot sites with full white-glove deployment.</w:t>
      </w:r>
    </w:p>
    <w:p>
      <w:pPr>
        <w:pStyle w:val="ListParagraph"/>
        <w:numPr>
          <w:ilvl w:val="0"/>
          <w:numId w:val="2"/>
        </w:numPr>
        <w:spacing w:after="80"/>
      </w:pPr>
      <w:r>
        <w:t xml:space="preserve">Log 50+ patient sessions across both pilot sites.</w:t>
      </w:r>
    </w:p>
    <w:p>
      <w:pPr>
        <w:pStyle w:val="ListParagraph"/>
        <w:numPr>
          <w:ilvl w:val="0"/>
          <w:numId w:val="2"/>
        </w:numPr>
        <w:spacing w:after="80"/>
      </w:pPr>
      <w:r>
        <w:t xml:space="preserve">Capture qualitative feedback: weekly therapist interviews, patient surveys.</w:t>
      </w:r>
    </w:p>
    <w:p>
      <w:pPr>
        <w:pStyle w:val="ListParagraph"/>
        <w:numPr>
          <w:ilvl w:val="0"/>
          <w:numId w:val="2"/>
        </w:numPr>
        <w:spacing w:after="80"/>
      </w:pPr>
      <w:r>
        <w:t xml:space="preserve">Begin DHA medical device registration paperwork (the long-pole regulatory item).</w:t>
      </w:r>
    </w:p>
    <w:p>
      <w:pPr>
        <w:pStyle w:val="Heading3"/>
      </w:pPr>
      <w:r>
        <w:rPr>
          <w:color w:val="0A2540"/>
        </w:rPr>
        <w:t xml:space="preserve">Week 5–6  ·  Build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Weeks 5–6</w:t>
            </w:r>
          </w:p>
          <w:p>
            <w:r>
              <w:rPr>
                <w:i/>
                <w:iCs/>
                <w:color w:val="B6E5D8"/>
                <w:sz w:val="20"/>
                <w:szCs w:val="20"/>
              </w:rPr>
              <w:t xml:space="preserve">MVP build and pilot site lock-in</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Build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Two-week development sprint. Hire one strong Unity/VR developer (contract or co-founder). Use Quest 3 standalone. Three protocols only — do not scope creep.</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Tech stack</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Unity for VR client, Node.js + Postgres for backend, simple web dashboard for therapists. Hosted on AWS Bahrain or G42 region.</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Hardware</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Order 4x Quest 3 headsets (2 per pilot site + 2 spares). AED ~7,500 total. Sanitization protocol drafted with clinical advisor.</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Pilot site #1</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Sign no-cost pilot agreement with your top Tier 1 clinic candidate. 4-week pilot, 5 patients, weekly therapist debriefs, you provide everything.</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Pilot site #2</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Same with second clinic. Geographic spread (one Dubai, one Sharjah or AD) helps avoid local-network noise.</w:t>
            </w:r>
          </w:p>
        </w:tc>
      </w:tr>
    </w:tbl>
    <w:p>
      <w:pPr>
        <w:pStyle w:val="Heading3"/>
      </w:pPr>
      <w:r>
        <w:rPr>
          <w:color w:val="0A2540"/>
        </w:rPr>
        <w:t xml:space="preserve">Week 7  ·  Soft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7</w:t>
            </w:r>
          </w:p>
          <w:p>
            <w:r>
              <w:rPr>
                <w:i/>
                <w:iCs/>
                <w:color w:val="B6E5D8"/>
                <w:sz w:val="20"/>
                <w:szCs w:val="20"/>
              </w:rPr>
              <w:t xml:space="preserve">First real patients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On-site setup at pilot site #1. Install hardware, train two therapists, walk through dashboard.</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Tue</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First patient session at pilot site #1. You and your clinical advisor are present in person.</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Wed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On-site setup at pilot site #2.</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Thu</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First patient session at pilot site #2.</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Bug-fix sprint: fix the 5 most-cited issues from week's sessions. Ship a hotfix.</w:t>
            </w:r>
          </w:p>
        </w:tc>
      </w:tr>
    </w:tbl>
    <w:p>
      <w:pPr>
        <w:pStyle w:val="Heading3"/>
      </w:pPr>
      <w:r>
        <w:rPr>
          <w:color w:val="0A2540"/>
        </w:rPr>
        <w:t xml:space="preserve">Week 8  ·  Iterate and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8</w:t>
            </w:r>
          </w:p>
          <w:p>
            <w:r>
              <w:rPr>
                <w:i/>
                <w:iCs/>
                <w:color w:val="B6E5D8"/>
                <w:sz w:val="20"/>
                <w:szCs w:val="20"/>
              </w:rPr>
              <w:t xml:space="preserve">Make it stick</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Mon-Wed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Daily standups with both pilot site leads. Review session telemetry. What's working? Where are patients dropping off mid-session?</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Thu</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Visit both sites for in-person therapist interviews. Bring food. Listen more than you talk.</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Mid-pilot review with clinical advisor. Are we measuring what matters clinically? Adjust outcome metrics if needed.</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Ongoing</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Begin DHA registration consultation. Hire a UAE medical device consultant (e.g., RegDesk, Emergo, or local boutique). Engagement fee ~AED 25,000 for full Class IIa pathway.</w:t>
            </w:r>
          </w:p>
        </w:tc>
      </w:tr>
    </w:tbl>
    <w:p>
      <w:pPr>
        <w:pStyle w:val="Heading2"/>
      </w:pPr>
      <w:r>
        <w:rPr>
          <w:color w:val="0A2540"/>
        </w:rPr>
        <w:t xml:space="preserve">Phase 2 Deliverables</w:t>
      </w:r>
    </w:p>
    <w:p>
      <w:pPr>
        <w:pStyle w:val="ListParagraph"/>
        <w:numPr>
          <w:ilvl w:val="0"/>
          <w:numId w:val="2"/>
        </w:numPr>
        <w:spacing w:after="80"/>
      </w:pPr>
      <w:r>
        <w:t xml:space="preserve">Working MVP: 3 protocols, web dashboard, patient and therapist user flows tested.</w:t>
      </w:r>
    </w:p>
    <w:p>
      <w:pPr>
        <w:pStyle w:val="ListParagraph"/>
        <w:numPr>
          <w:ilvl w:val="0"/>
          <w:numId w:val="2"/>
        </w:numPr>
        <w:spacing w:after="80"/>
      </w:pPr>
      <w:r>
        <w:t xml:space="preserve">Two signed no-cost pilot agreements with clear scope and exit criteria.</w:t>
      </w:r>
    </w:p>
    <w:p>
      <w:pPr>
        <w:pStyle w:val="ListParagraph"/>
        <w:numPr>
          <w:ilvl w:val="0"/>
          <w:numId w:val="2"/>
        </w:numPr>
        <w:spacing w:after="80"/>
      </w:pPr>
      <w:r>
        <w:t xml:space="preserve">50+ logged patient sessions with telemetry.</w:t>
      </w:r>
    </w:p>
    <w:p>
      <w:pPr>
        <w:pStyle w:val="ListParagraph"/>
        <w:numPr>
          <w:ilvl w:val="0"/>
          <w:numId w:val="2"/>
        </w:numPr>
        <w:spacing w:after="80"/>
      </w:pPr>
      <w:r>
        <w:t xml:space="preserve">Therapist NPS or satisfaction baseline; patient session-completion rate baseline.</w:t>
      </w:r>
    </w:p>
    <w:p>
      <w:pPr>
        <w:pStyle w:val="ListParagraph"/>
        <w:numPr>
          <w:ilvl w:val="0"/>
          <w:numId w:val="2"/>
        </w:numPr>
        <w:spacing w:after="80"/>
      </w:pPr>
      <w:r>
        <w:t xml:space="preserve">Initial DHA pre-submission package drafted with consultant.</w:t>
      </w:r>
    </w:p>
    <w:p>
      <w:pPr>
        <w:pStyle w:val="Heading2"/>
      </w:pPr>
      <w:r>
        <w:rPr>
          <w:color w:val="0A2540"/>
        </w:rPr>
        <w:t xml:space="preserve">Phase 2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000"/>
        <w:gridCol w:w="2000"/>
      </w:tblGrid>
      <w:tr>
        <w:trPr>
          <w:tblHeader/>
        </w:trPr>
        <w:tc>
          <w:tcPr>
            <w:tcW w:type="dxa" w:w="336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Milestone</w:t>
            </w:r>
          </w:p>
        </w:tc>
        <w:tc>
          <w:tcPr>
            <w:tcW w:type="dxa" w:w="400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Target</w:t>
            </w:r>
          </w:p>
        </w:tc>
        <w:tc>
          <w:tcPr>
            <w:tcW w:type="dxa" w:w="200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Status / Owner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Developer (contract or first hire)</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60,000 – 90,000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Hardware (4x Quest 3 + accessories)</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8,000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Pilot deployment (travel, training)</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6,000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DHA consultant retainer</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25,000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 + Advisor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AWS, software, ops</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8,000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Total Phase 2</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107,000 – 137,000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w:t>
            </w:r>
          </w:p>
        </w:tc>
      </w:tr>
    </w:tbl>
    <w:p>
      <w:pPr>
        <w:pStyle w:val="Heading1"/>
        <w:pageBreakBefore/>
      </w:pPr>
      <w:r>
        <w:rPr>
          <w:color w:val="0A2540"/>
        </w:rPr>
        <w:t xml:space="preserve">Phase 3  ·  Days 61–90  ·  Convert and Capitalize</w:t>
      </w:r>
    </w:p>
    <w:p>
      <w:pPr>
        <w:spacing w:after="120"/>
      </w:pPr>
      <w:r>
        <w:t xml:space="preserve">Phase 3 is when you stop being a project and start being a company. The goal is to convert pilot data into signed paid contracts, lock in a clear path to regulatory approval, and produce a Seed-ready pitch with real traction.</w:t>
      </w:r>
    </w:p>
    <w:p>
      <w:pPr>
        <w:pStyle w:val="Heading2"/>
      </w:pPr>
      <w:r>
        <w:rPr>
          <w:color w:val="0A2540"/>
        </w:rPr>
        <w:t xml:space="preserve">Phase 3 Objectives</w:t>
      </w:r>
    </w:p>
    <w:p>
      <w:pPr>
        <w:pStyle w:val="ListParagraph"/>
        <w:numPr>
          <w:ilvl w:val="0"/>
          <w:numId w:val="2"/>
        </w:numPr>
        <w:spacing w:after="80"/>
      </w:pPr>
      <w:r>
        <w:t xml:space="preserve">Convert two pilots to signed paid contracts at standard pricing (AED 18K setup + 4.5K/month + 35/session).</w:t>
      </w:r>
    </w:p>
    <w:p>
      <w:pPr>
        <w:pStyle w:val="ListParagraph"/>
        <w:numPr>
          <w:ilvl w:val="0"/>
          <w:numId w:val="2"/>
        </w:numPr>
        <w:spacing w:after="80"/>
      </w:pPr>
      <w:r>
        <w:t xml:space="preserve">Sign at least one new paid contract (third clinic or hospital pilot).</w:t>
      </w:r>
    </w:p>
    <w:p>
      <w:pPr>
        <w:pStyle w:val="ListParagraph"/>
        <w:numPr>
          <w:ilvl w:val="0"/>
          <w:numId w:val="2"/>
        </w:numPr>
        <w:spacing w:after="80"/>
      </w:pPr>
      <w:r>
        <w:t xml:space="preserve">Produce a peer-reviewable case study from pilot data.</w:t>
      </w:r>
    </w:p>
    <w:p>
      <w:pPr>
        <w:pStyle w:val="ListParagraph"/>
        <w:numPr>
          <w:ilvl w:val="0"/>
          <w:numId w:val="2"/>
        </w:numPr>
        <w:spacing w:after="80"/>
      </w:pPr>
      <w:r>
        <w:t xml:space="preserve">Submit DHA pre-registration / advisory request.</w:t>
      </w:r>
    </w:p>
    <w:p>
      <w:pPr>
        <w:pStyle w:val="ListParagraph"/>
        <w:numPr>
          <w:ilvl w:val="0"/>
          <w:numId w:val="2"/>
        </w:numPr>
        <w:spacing w:after="80"/>
      </w:pPr>
      <w:r>
        <w:t xml:space="preserve">Build Seed pitch deck v1.0 with traction slide and unit economics.</w:t>
      </w:r>
    </w:p>
    <w:p>
      <w:pPr>
        <w:pStyle w:val="ListParagraph"/>
        <w:numPr>
          <w:ilvl w:val="0"/>
          <w:numId w:val="2"/>
        </w:numPr>
        <w:spacing w:after="80"/>
      </w:pPr>
      <w:r>
        <w:t xml:space="preserve">Begin investor outreach to UAE-focused healthtech funds (Hub71 cohorts, MBRIF, Mubadala Ventures, BECO Capital, Wamda).</w:t>
      </w:r>
    </w:p>
    <w:p>
      <w:pPr>
        <w:pStyle w:val="Heading3"/>
      </w:pPr>
      <w:r>
        <w:rPr>
          <w:color w:val="0A2540"/>
        </w:rPr>
        <w:t xml:space="preserve">Week 9  ·  Pilot conversion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9</w:t>
            </w:r>
          </w:p>
          <w:p>
            <w:r>
              <w:rPr>
                <w:i/>
                <w:iCs/>
                <w:color w:val="B6E5D8"/>
                <w:sz w:val="20"/>
                <w:szCs w:val="20"/>
              </w:rPr>
              <w:t xml:space="preserve">Convert pilots to contracts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Prepare pilot wrap-up reports for both sites: outcome metrics, patient feedback, ROI projection at full clinic adoption.</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Tue</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Pilot site #1 conversion meeting. Walk through report. Present standard pricing. Ask for purchase order.</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Wed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Pilot site #2 conversion meeting. Same.</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Thu-Fri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Negotiate. Be willing to give a 6-month discount in exchange for a 24-month commitment and a referenceable case study.</w:t>
            </w:r>
          </w:p>
        </w:tc>
      </w:tr>
    </w:tbl>
    <w:p>
      <w:pPr>
        <w:pStyle w:val="Heading3"/>
      </w:pPr>
      <w:r>
        <w:rPr>
          <w:color w:val="0A2540"/>
        </w:rPr>
        <w:t xml:space="preserve">Week 10  ·  Outreach scale-up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10</w:t>
            </w:r>
          </w:p>
          <w:p>
            <w:r>
              <w:rPr>
                <w:i/>
                <w:iCs/>
                <w:color w:val="B6E5D8"/>
                <w:sz w:val="20"/>
                <w:szCs w:val="20"/>
              </w:rPr>
              <w:t xml:space="preserve">Pipeline expansion + hospital tier-2</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Use signed paid contract(s) as the social proof. New outreach wave: 20 clinics + 5 hospital rehab departments.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Tue</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Hospital meetings: framing shifts from 'will this work?' (we now have proof) to 'how do we deploy this in your department?'</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Wed-Thu</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Begin home-healthcare conversations. Manzil and Right Health are particularly underserved — pitch the home-rehab use case specifically.</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Sign third paid contract (or LOI moving to contract within 30 days).</w:t>
            </w:r>
          </w:p>
        </w:tc>
      </w:tr>
    </w:tbl>
    <w:p>
      <w:pPr>
        <w:pStyle w:val="Heading3"/>
      </w:pPr>
      <w:r>
        <w:rPr>
          <w:color w:val="0A2540"/>
        </w:rPr>
        <w:t xml:space="preserve">Week 11  ·  Evidence and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11</w:t>
            </w:r>
          </w:p>
          <w:p>
            <w:r>
              <w:rPr>
                <w:i/>
                <w:iCs/>
                <w:color w:val="B6E5D8"/>
                <w:sz w:val="20"/>
                <w:szCs w:val="20"/>
              </w:rPr>
              <w:t xml:space="preserve">Lock in clinical credibility</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Mon-Tue</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Draft case study. Anonymized patient outcomes. Format: clinical abstract style. Get clinical advisor as co-author.</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Wed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Submit DHA pre-registration consultation request. Goal: get formal feedback on classification (Class I vs IIa) and required documentation.</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Thu-Fri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File provisional patent or IP protection on any genuinely novel clinical algorithm (e.g., AI difficulty modulation). Use a UAE-registered IP attorney; cost ~AED 8,000–15,000.</w:t>
            </w:r>
          </w:p>
        </w:tc>
      </w:tr>
    </w:tbl>
    <w:p>
      <w:pPr>
        <w:pStyle w:val="Heading3"/>
      </w:pPr>
      <w:r>
        <w:rPr>
          <w:color w:val="0A2540"/>
        </w:rPr>
        <w:t xml:space="preserve">Week 12  ·  Seed-ready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9360"/>
            <w:gridSpan w:val="2"/>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sz w:val="24"/>
                <w:szCs w:val="24"/>
              </w:rPr>
              <w:t xml:space="preserve">Week 12</w:t>
            </w:r>
          </w:p>
          <w:p>
            <w:r>
              <w:rPr>
                <w:i/>
                <w:iCs/>
                <w:color w:val="B6E5D8"/>
                <w:sz w:val="20"/>
                <w:szCs w:val="20"/>
              </w:rPr>
              <w:t xml:space="preserve">Pitch deck and investor outreach</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Mon-Tue</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Build Seed pitch deck v1.0. 12 slides. Include: traction (3 paid contracts, 50+ sessions, NPS), market, team, unit economics, ask (USD 1.2–1.8M, 18-month runway).</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Wed</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Apply to Hub71 Cohort 14 and MBRIF. Both are non-dilutive runway extensions and signal-providing.</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Thu</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Warm intro outreach to 8–10 healthtech-focused VCs. Don't cold-pitch — get warm intros from your advisors and pilot customers.</w:t>
            </w:r>
          </w:p>
        </w:tc>
      </w:tr>
      <w:tr>
        <w:tc>
          <w:tcPr>
            <w:tcW w:type="dxa" w:w="1800"/>
            <w:tcBorders>
              <w:top w:val="single" w:color="E2E8F0" w:sz="4"/>
              <w:left w:val="single" w:color="E2E8F0" w:sz="4"/>
              <w:bottom w:val="single" w:color="E2E8F0" w:sz="4"/>
              <w:right w:val="single" w:color="E2E8F0" w:sz="4"/>
            </w:tcBorders>
            <w:shd w:fill="F8FAFB" w:val="clear"/>
            <w:tcMar>
              <w:top w:type="dxa" w:w="100"/>
              <w:left w:type="dxa" w:w="160"/>
              <w:bottom w:type="dxa" w:w="100"/>
              <w:right w:type="dxa" w:w="160"/>
            </w:tcMar>
          </w:tcPr>
          <w:p>
            <w:r>
              <w:rPr>
                <w:b/>
                <w:bCs/>
                <w:color w:val="0A2540"/>
              </w:rPr>
              <w:t xml:space="preserve">Fri</w:t>
            </w:r>
          </w:p>
        </w:tc>
        <w:tc>
          <w:tcPr>
            <w:tcW w:type="dxa" w:w="75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t xml:space="preserve">Phase 3 retrospective. Hard call: is this venture-fundable? If yes, prep for raise. If signal is weaker, decide whether to bootstrap to AED 200K MRR before raising.</w:t>
            </w:r>
          </w:p>
        </w:tc>
      </w:tr>
    </w:tbl>
    <w:p>
      <w:pPr>
        <w:pStyle w:val="Heading2"/>
      </w:pPr>
      <w:r>
        <w:rPr>
          <w:color w:val="0A2540"/>
        </w:rPr>
        <w:t xml:space="preserve">Phase 3 Deliverables</w:t>
      </w:r>
    </w:p>
    <w:p>
      <w:pPr>
        <w:pStyle w:val="ListParagraph"/>
        <w:numPr>
          <w:ilvl w:val="0"/>
          <w:numId w:val="2"/>
        </w:numPr>
        <w:spacing w:after="80"/>
      </w:pPr>
      <w:r>
        <w:t xml:space="preserve">Three signed paid contracts (or two paid + one signed LOI moving to contract).</w:t>
      </w:r>
    </w:p>
    <w:p>
      <w:pPr>
        <w:pStyle w:val="ListParagraph"/>
        <w:numPr>
          <w:ilvl w:val="0"/>
          <w:numId w:val="2"/>
        </w:numPr>
        <w:spacing w:after="80"/>
      </w:pPr>
      <w:r>
        <w:t xml:space="preserve">Clinical case study draft, suitable for poster submission to MENA Stroke Conference or Emirates Society of Rehabilitation Medicine.</w:t>
      </w:r>
    </w:p>
    <w:p>
      <w:pPr>
        <w:pStyle w:val="ListParagraph"/>
        <w:numPr>
          <w:ilvl w:val="0"/>
          <w:numId w:val="2"/>
        </w:numPr>
        <w:spacing w:after="80"/>
      </w:pPr>
      <w:r>
        <w:t xml:space="preserve">DHA pre-registration consultation submitted; classification confirmed.</w:t>
      </w:r>
    </w:p>
    <w:p>
      <w:pPr>
        <w:pStyle w:val="ListParagraph"/>
        <w:numPr>
          <w:ilvl w:val="0"/>
          <w:numId w:val="2"/>
        </w:numPr>
        <w:spacing w:after="80"/>
      </w:pPr>
      <w:r>
        <w:t xml:space="preserve">Seed pitch deck v1.0 with real traction and unit economics.</w:t>
      </w:r>
    </w:p>
    <w:p>
      <w:pPr>
        <w:pStyle w:val="ListParagraph"/>
        <w:numPr>
          <w:ilvl w:val="0"/>
          <w:numId w:val="2"/>
        </w:numPr>
        <w:spacing w:after="80"/>
      </w:pPr>
      <w:r>
        <w:t xml:space="preserve">Provisional patent or IP filing on novel algorithm.</w:t>
      </w:r>
    </w:p>
    <w:p>
      <w:pPr>
        <w:pStyle w:val="Heading2"/>
      </w:pPr>
      <w:r>
        <w:rPr>
          <w:color w:val="0A2540"/>
        </w:rPr>
        <w:t xml:space="preserve">Phase 3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000"/>
        <w:gridCol w:w="2000"/>
      </w:tblGrid>
      <w:tr>
        <w:trPr>
          <w:tblHeader/>
        </w:trPr>
        <w:tc>
          <w:tcPr>
            <w:tcW w:type="dxa" w:w="336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Milestone</w:t>
            </w:r>
          </w:p>
        </w:tc>
        <w:tc>
          <w:tcPr>
            <w:tcW w:type="dxa" w:w="400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Target</w:t>
            </w:r>
          </w:p>
        </w:tc>
        <w:tc>
          <w:tcPr>
            <w:tcW w:type="dxa" w:w="200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Status / Owner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Developer continuation</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60,000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IP filing + legal</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15,000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DHA submission fees</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12,000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 + Advisor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Marketing collateral, deck design</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8,000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Hardware expansion (2 more sites)</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4,000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Travel, ops</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7,000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Founder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Total Phase 3</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106,000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w:t>
            </w:r>
          </w:p>
        </w:tc>
      </w:tr>
    </w:tbl>
    <w:p>
      <w:pPr>
        <w:pStyle w:val="Heading1"/>
        <w:pageBreakBefore/>
      </w:pPr>
      <w:r>
        <w:rPr>
          <w:color w:val="0A2540"/>
        </w:rPr>
        <w:t xml:space="preserve">90-Day Total Budget</w:t>
      </w:r>
    </w:p>
    <w:p>
      <w:pPr>
        <w:spacing w:after="120"/>
      </w:pPr>
      <w:r>
        <w:t xml:space="preserve">Aggregate runway required to execute this plan, before any seed capital is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000"/>
        <w:gridCol w:w="2000"/>
      </w:tblGrid>
      <w:tr>
        <w:trPr>
          <w:tblHeader/>
        </w:trPr>
        <w:tc>
          <w:tcPr>
            <w:tcW w:type="dxa" w:w="336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Milestone</w:t>
            </w:r>
          </w:p>
        </w:tc>
        <w:tc>
          <w:tcPr>
            <w:tcW w:type="dxa" w:w="400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Target</w:t>
            </w:r>
          </w:p>
        </w:tc>
        <w:tc>
          <w:tcPr>
            <w:tcW w:type="dxa" w:w="2000"/>
            <w:tcBorders>
              <w:top w:val="single" w:color="E2E8F0" w:sz="4"/>
              <w:left w:val="single" w:color="E2E8F0" w:sz="4"/>
              <w:bottom w:val="single" w:color="E2E8F0" w:sz="4"/>
              <w:right w:val="single" w:color="E2E8F0" w:sz="4"/>
            </w:tcBorders>
            <w:shd w:fill="0A2540" w:val="clear"/>
            <w:tcMar>
              <w:top w:type="dxa" w:w="100"/>
              <w:left w:type="dxa" w:w="160"/>
              <w:bottom w:type="dxa" w:w="100"/>
              <w:right w:type="dxa" w:w="160"/>
            </w:tcMar>
          </w:tcPr>
          <w:p>
            <w:r>
              <w:rPr>
                <w:b/>
                <w:bCs/>
                <w:color w:val="FFFFFF"/>
              </w:rPr>
              <w:t xml:space="preserve">Status / Owner</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Phase 1 (Discovery)</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37,000 – 50,000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Days 1–30</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Phase 2 (Build &amp; Pilot)</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107,000 – 137,000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Days 31–60</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Phase 3 (Convert)</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106,000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Days 61–90</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Founder runway (3 mo @ AED 25K)</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75,000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Living costs</w:t>
            </w:r>
          </w:p>
        </w:tc>
      </w:tr>
      <w:tr>
        <w:tc>
          <w:tcPr>
            <w:tcW w:type="dxa" w:w="336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bCs/>
              </w:rPr>
              <w:t xml:space="preserve">Total</w:t>
            </w:r>
          </w:p>
        </w:tc>
        <w:tc>
          <w:tcPr>
            <w:tcW w:type="dxa" w:w="4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AED 325,000 – 368,000</w:t>
            </w:r>
          </w:p>
        </w:tc>
        <w:tc>
          <w:tcPr>
            <w:tcW w:type="dxa" w:w="2000"/>
            <w:tcBorders>
              <w:top w:val="single" w:color="E2E8F0" w:sz="4"/>
              <w:left w:val="single" w:color="E2E8F0" w:sz="4"/>
              <w:bottom w:val="single" w:color="E2E8F0" w:sz="4"/>
              <w:right w:val="single" w:color="E2E8F0" w:sz="4"/>
            </w:tcBorders>
            <w:tcMar>
              <w:top w:type="dxa" w:w="100"/>
              <w:left w:type="dxa" w:w="160"/>
              <w:bottom w:type="dxa" w:w="100"/>
              <w:right w:type="dxa" w:w="160"/>
            </w:tcMar>
          </w:tcPr>
          <w:p>
            <w:r>
              <w:rPr>
                <w:b w:val="false"/>
                <w:bCs w:val="false"/>
              </w:rPr>
              <w:t xml:space="preserve">≈ USD 90,000 – 100,000</w:t>
            </w:r>
          </w:p>
        </w:tc>
      </w:tr>
    </w:tbl>
    <w:tbl>
      <w:tblPr>
        <w:tblW w:type="dxa" w:w="9360"/>
        <w:tblBorders>
          <w:top w:val="none"/>
          <w:left w:val="single" w:color="00A685" w:sz="24"/>
          <w:bottom w:val="none"/>
          <w:right w:val="none"/>
          <w:insideH w:val="none"/>
          <w:insideV w:val="none"/>
        </w:tblBorders>
      </w:tblPr>
      <w:tblGrid>
        <w:gridCol w:w="9360"/>
      </w:tblGrid>
      <w:tr>
        <w:tc>
          <w:tcPr>
            <w:tcW w:type="dxa" w:w="9360"/>
            <w:shd w:fill="F8FAFB" w:val="clear"/>
            <w:tcMar>
              <w:top w:type="dxa" w:w="160"/>
              <w:left w:type="dxa" w:w="240"/>
              <w:bottom w:type="dxa" w:w="160"/>
              <w:right w:type="dxa" w:w="240"/>
            </w:tcMar>
          </w:tcPr>
          <w:p>
            <w:r>
              <w:rPr>
                <w:i/>
                <w:iCs/>
                <w:color w:val="0A2540"/>
              </w:rPr>
              <w:t xml:space="preserve">This is a friends-and-family or angel pre-seed sized round, not a Seed. Raise this amount BEFORE Day 1 if possible. Plan to raise the proper Seed round (USD 1.2–1.8M) at Day 90 with traction in hand.</w:t>
            </w:r>
          </w:p>
        </w:tc>
      </w:tr>
    </w:tbl>
    <w:p>
      <w:pPr>
        <w:pStyle w:val="Heading1"/>
        <w:pageBreakBefore/>
      </w:pPr>
      <w:r>
        <w:rPr>
          <w:color w:val="0A2540"/>
        </w:rPr>
        <w:t xml:space="preserve">Key Risks and Mitigations</w:t>
      </w:r>
    </w:p>
    <w:p>
      <w:pPr>
        <w:pStyle w:val="Heading2"/>
      </w:pPr>
      <w:r>
        <w:rPr>
          <w:color w:val="0A2540"/>
        </w:rPr>
        <w:t xml:space="preserve">Risk: No clinical advisor will commit</w:t>
      </w:r>
    </w:p>
    <w:p>
      <w:pPr>
        <w:spacing w:after="120"/>
      </w:pPr>
      <w:r>
        <w:t xml:space="preserve">Mitigation: Approach 10+ candidates. Lead with intellectual respect, not pitch. Offer meaningful equity (0.5%+) if needed. If by Day 21 you have no advisor, that is a strong signal — pause Phase 2 and revisit positioning.</w:t>
      </w:r>
    </w:p>
    <w:p>
      <w:pPr>
        <w:pStyle w:val="Heading2"/>
      </w:pPr>
      <w:r>
        <w:rPr>
          <w:color w:val="0A2540"/>
        </w:rPr>
        <w:t xml:space="preserve">Risk: Pilot sites refuse to convert to paid</w:t>
      </w:r>
    </w:p>
    <w:p>
      <w:pPr>
        <w:spacing w:after="120"/>
      </w:pPr>
      <w:r>
        <w:t xml:space="preserve">Mitigation: Define conversion criteria in the pilot agreement upfront. Offer 6-month discount in exchange for case study rights and 24-month commitment. If both pilots refuse to convert, the product-market fit signal is weak — pivot indication, not platform.</w:t>
      </w:r>
    </w:p>
    <w:p>
      <w:pPr>
        <w:pStyle w:val="Heading2"/>
      </w:pPr>
      <w:r>
        <w:rPr>
          <w:color w:val="0A2540"/>
        </w:rPr>
        <w:t xml:space="preserve">Risk: DHA classifies CUVR as Class IIb medical device</w:t>
      </w:r>
    </w:p>
    <w:p>
      <w:pPr>
        <w:spacing w:after="120"/>
      </w:pPr>
      <w:r>
        <w:t xml:space="preserve">Mitigation: Engage consultant early. Class IIa is the realistic ceiling for software-as-medical-device with VR. Class IIb adds 6–9 months and AED 200K+ to the regulatory bill. If forced into IIb, immediately reposition as 'wellness/digital therapeutics' for short-term revenue while pursuing IIb in parallel.</w:t>
      </w:r>
    </w:p>
    <w:p>
      <w:pPr>
        <w:pStyle w:val="Heading2"/>
      </w:pPr>
      <w:r>
        <w:rPr>
          <w:color w:val="0A2540"/>
        </w:rPr>
        <w:t xml:space="preserve">Risk: Hardware obsolescence (Quest 3 superseded mid-pilot)</w:t>
      </w:r>
    </w:p>
    <w:p>
      <w:pPr>
        <w:spacing w:after="120"/>
      </w:pPr>
      <w:r>
        <w:t xml:space="preserve">Mitigation: Software is hardware-agnostic from Day 1. Build a thin abstraction layer over OpenXR. Quest 3 is the fastest path to launch but Pico 4 Enterprise and Apple Vision Pro should be on the 12-month roadmap.</w:t>
      </w:r>
    </w:p>
    <w:p>
      <w:pPr>
        <w:pStyle w:val="Heading2"/>
      </w:pPr>
      <w:r>
        <w:rPr>
          <w:color w:val="0A2540"/>
        </w:rPr>
        <w:t xml:space="preserve">Risk: Founder burnout</w:t>
      </w:r>
    </w:p>
    <w:p>
      <w:pPr>
        <w:spacing w:after="120"/>
      </w:pPr>
      <w:r>
        <w:t xml:space="preserve">Mitigation: This plan is intense but bounded. 90 days, then a deliberate decompression week. Track sleep, exercise, and a non-startup human relationship per week. If founder is breaking by Day 60, slow Phase 3 by 2–3 weeks rather than push through.</w:t>
      </w:r>
    </w:p>
    <w:p>
      <w:pPr>
        <w:pStyle w:val="Heading1"/>
        <w:pageBreakBefore/>
      </w:pPr>
      <w:r>
        <w:rPr>
          <w:color w:val="0A2540"/>
        </w:rPr>
        <w:t xml:space="preserve">Appendix A  ·  Customer Discovery Target List</w:t>
      </w:r>
    </w:p>
    <w:p>
      <w:pPr>
        <w:pStyle w:val="Heading2"/>
      </w:pPr>
      <w:r>
        <w:rPr>
          <w:color w:val="0A2540"/>
        </w:rPr>
        <w:t xml:space="preserve">Tier 1 — Specialty Rehabilitation Clinics (Dubai/UAE)</w:t>
      </w:r>
    </w:p>
    <w:p>
      <w:pPr>
        <w:pStyle w:val="ListParagraph"/>
        <w:numPr>
          <w:ilvl w:val="0"/>
          <w:numId w:val="2"/>
        </w:numPr>
        <w:spacing w:after="80"/>
      </w:pPr>
      <w:r>
        <w:t xml:space="preserve">Up and Running Sports Medicine Clinic (Dubai Marina, Motor City)</w:t>
      </w:r>
    </w:p>
    <w:p>
      <w:pPr>
        <w:pStyle w:val="ListParagraph"/>
        <w:numPr>
          <w:ilvl w:val="0"/>
          <w:numId w:val="2"/>
        </w:numPr>
        <w:spacing w:after="80"/>
      </w:pPr>
      <w:r>
        <w:t xml:space="preserve">Physiotherapy and Rehab Centre (Jumeirah)</w:t>
      </w:r>
    </w:p>
    <w:p>
      <w:pPr>
        <w:pStyle w:val="ListParagraph"/>
        <w:numPr>
          <w:ilvl w:val="0"/>
          <w:numId w:val="2"/>
        </w:numPr>
        <w:spacing w:after="80"/>
      </w:pPr>
      <w:r>
        <w:t xml:space="preserve">Diversey Health (multiple locations)</w:t>
      </w:r>
    </w:p>
    <w:p>
      <w:pPr>
        <w:pStyle w:val="ListParagraph"/>
        <w:numPr>
          <w:ilvl w:val="0"/>
          <w:numId w:val="2"/>
        </w:numPr>
        <w:spacing w:after="80"/>
      </w:pPr>
      <w:r>
        <w:t xml:space="preserve">Hayat Universal Clinic (Al Wasl)</w:t>
      </w:r>
    </w:p>
    <w:p>
      <w:pPr>
        <w:pStyle w:val="ListParagraph"/>
        <w:numPr>
          <w:ilvl w:val="0"/>
          <w:numId w:val="2"/>
        </w:numPr>
        <w:spacing w:after="80"/>
      </w:pPr>
      <w:r>
        <w:t xml:space="preserve">Bioniks (specialty neuro rehab — direct competitor / potential partner)</w:t>
      </w:r>
    </w:p>
    <w:p>
      <w:pPr>
        <w:pStyle w:val="ListParagraph"/>
        <w:numPr>
          <w:ilvl w:val="0"/>
          <w:numId w:val="2"/>
        </w:numPr>
        <w:spacing w:after="80"/>
      </w:pPr>
      <w:r>
        <w:t xml:space="preserve">Pearl Pristine Medical Centre</w:t>
      </w:r>
    </w:p>
    <w:p>
      <w:pPr>
        <w:pStyle w:val="ListParagraph"/>
        <w:numPr>
          <w:ilvl w:val="0"/>
          <w:numId w:val="2"/>
        </w:numPr>
        <w:spacing w:after="80"/>
      </w:pPr>
      <w:r>
        <w:t xml:space="preserve">Eternal Medical Centre (Sharjah)</w:t>
      </w:r>
    </w:p>
    <w:p>
      <w:pPr>
        <w:pStyle w:val="ListParagraph"/>
        <w:numPr>
          <w:ilvl w:val="0"/>
          <w:numId w:val="2"/>
        </w:numPr>
        <w:spacing w:after="80"/>
      </w:pPr>
      <w:r>
        <w:t xml:space="preserve">Right Health rehab clinics</w:t>
      </w:r>
    </w:p>
    <w:p>
      <w:pPr>
        <w:pStyle w:val="Heading2"/>
      </w:pPr>
      <w:r>
        <w:rPr>
          <w:color w:val="0A2540"/>
        </w:rPr>
        <w:t xml:space="preserve">Tier 2 — Hospital Rehabilitation Departments</w:t>
      </w:r>
    </w:p>
    <w:p>
      <w:pPr>
        <w:pStyle w:val="ListParagraph"/>
        <w:numPr>
          <w:ilvl w:val="0"/>
          <w:numId w:val="2"/>
        </w:numPr>
        <w:spacing w:after="80"/>
      </w:pPr>
      <w:r>
        <w:t xml:space="preserve">Cleveland Clinic Abu Dhabi — Rehabilitation Institute</w:t>
      </w:r>
    </w:p>
    <w:p>
      <w:pPr>
        <w:pStyle w:val="ListParagraph"/>
        <w:numPr>
          <w:ilvl w:val="0"/>
          <w:numId w:val="2"/>
        </w:numPr>
        <w:spacing w:after="80"/>
      </w:pPr>
      <w:r>
        <w:t xml:space="preserve">American Hospital Dubai — Physical Medicine and Rehabilitation</w:t>
      </w:r>
    </w:p>
    <w:p>
      <w:pPr>
        <w:pStyle w:val="ListParagraph"/>
        <w:numPr>
          <w:ilvl w:val="0"/>
          <w:numId w:val="2"/>
        </w:numPr>
        <w:spacing w:after="80"/>
      </w:pPr>
      <w:r>
        <w:t xml:space="preserve">Mediclinic City Hospital (Dubai Healthcare City)</w:t>
      </w:r>
    </w:p>
    <w:p>
      <w:pPr>
        <w:pStyle w:val="ListParagraph"/>
        <w:numPr>
          <w:ilvl w:val="0"/>
          <w:numId w:val="2"/>
        </w:numPr>
        <w:spacing w:after="80"/>
      </w:pPr>
      <w:r>
        <w:t xml:space="preserve">NMC Specialty Hospital (multiple)</w:t>
      </w:r>
    </w:p>
    <w:p>
      <w:pPr>
        <w:pStyle w:val="ListParagraph"/>
        <w:numPr>
          <w:ilvl w:val="0"/>
          <w:numId w:val="2"/>
        </w:numPr>
        <w:spacing w:after="80"/>
      </w:pPr>
      <w:r>
        <w:t xml:space="preserve">Aster Hospital (Mankhool, Qusais)</w:t>
      </w:r>
    </w:p>
    <w:p>
      <w:pPr>
        <w:pStyle w:val="ListParagraph"/>
        <w:numPr>
          <w:ilvl w:val="0"/>
          <w:numId w:val="2"/>
        </w:numPr>
        <w:spacing w:after="80"/>
      </w:pPr>
      <w:r>
        <w:t xml:space="preserve">Saudi German Hospital — Rehab Department</w:t>
      </w:r>
    </w:p>
    <w:p>
      <w:pPr>
        <w:pStyle w:val="ListParagraph"/>
        <w:numPr>
          <w:ilvl w:val="0"/>
          <w:numId w:val="2"/>
        </w:numPr>
        <w:spacing w:after="80"/>
      </w:pPr>
      <w:r>
        <w:t xml:space="preserve">King's College Hospital London — Dubai</w:t>
      </w:r>
    </w:p>
    <w:p>
      <w:pPr>
        <w:pStyle w:val="ListParagraph"/>
        <w:numPr>
          <w:ilvl w:val="0"/>
          <w:numId w:val="2"/>
        </w:numPr>
        <w:spacing w:after="80"/>
      </w:pPr>
      <w:r>
        <w:t xml:space="preserve">Emirates Hospital Group</w:t>
      </w:r>
    </w:p>
    <w:p>
      <w:pPr>
        <w:pStyle w:val="Heading2"/>
      </w:pPr>
      <w:r>
        <w:rPr>
          <w:color w:val="0A2540"/>
        </w:rPr>
        <w:t xml:space="preserve">Tier 3 — Home Healthcare Providers</w:t>
      </w:r>
    </w:p>
    <w:p>
      <w:pPr>
        <w:pStyle w:val="ListParagraph"/>
        <w:numPr>
          <w:ilvl w:val="0"/>
          <w:numId w:val="2"/>
        </w:numPr>
        <w:spacing w:after="80"/>
      </w:pPr>
      <w:r>
        <w:t xml:space="preserve">Manzil Healthcare Services (largest UAE home-care)</w:t>
      </w:r>
    </w:p>
    <w:p>
      <w:pPr>
        <w:pStyle w:val="ListParagraph"/>
        <w:numPr>
          <w:ilvl w:val="0"/>
          <w:numId w:val="2"/>
        </w:numPr>
        <w:spacing w:after="80"/>
      </w:pPr>
      <w:r>
        <w:t xml:space="preserve">Right Health Home Healthcare</w:t>
      </w:r>
    </w:p>
    <w:p>
      <w:pPr>
        <w:pStyle w:val="ListParagraph"/>
        <w:numPr>
          <w:ilvl w:val="0"/>
          <w:numId w:val="2"/>
        </w:numPr>
        <w:spacing w:after="80"/>
      </w:pPr>
      <w:r>
        <w:t xml:space="preserve">Health at Hand</w:t>
      </w:r>
    </w:p>
    <w:p>
      <w:pPr>
        <w:pStyle w:val="ListParagraph"/>
        <w:numPr>
          <w:ilvl w:val="0"/>
          <w:numId w:val="2"/>
        </w:numPr>
        <w:spacing w:after="80"/>
      </w:pPr>
      <w:r>
        <w:t xml:space="preserve">Justlife (consumer wellness, secondary)</w:t>
      </w:r>
    </w:p>
    <w:p>
      <w:pPr>
        <w:pStyle w:val="ListParagraph"/>
        <w:numPr>
          <w:ilvl w:val="0"/>
          <w:numId w:val="2"/>
        </w:numPr>
        <w:spacing w:after="80"/>
      </w:pPr>
      <w:r>
        <w:t xml:space="preserve">Care 24/7 Home Healthcare</w:t>
      </w:r>
    </w:p>
    <w:p>
      <w:pPr>
        <w:pStyle w:val="Heading2"/>
      </w:pPr>
      <w:r>
        <w:rPr>
          <w:color w:val="0A2540"/>
        </w:rPr>
        <w:t xml:space="preserve">Tier 4 — Strategic / Insurer (long-term)</w:t>
      </w:r>
    </w:p>
    <w:p>
      <w:pPr>
        <w:pStyle w:val="ListParagraph"/>
        <w:numPr>
          <w:ilvl w:val="0"/>
          <w:numId w:val="2"/>
        </w:numPr>
        <w:spacing w:after="80"/>
      </w:pPr>
      <w:r>
        <w:t xml:space="preserve">Daman National Health Insurance Company</w:t>
      </w:r>
    </w:p>
    <w:p>
      <w:pPr>
        <w:pStyle w:val="ListParagraph"/>
        <w:numPr>
          <w:ilvl w:val="0"/>
          <w:numId w:val="2"/>
        </w:numPr>
        <w:spacing w:after="80"/>
      </w:pPr>
      <w:r>
        <w:t xml:space="preserve">Sukoon Insurance</w:t>
      </w:r>
    </w:p>
    <w:p>
      <w:pPr>
        <w:pStyle w:val="ListParagraph"/>
        <w:numPr>
          <w:ilvl w:val="0"/>
          <w:numId w:val="2"/>
        </w:numPr>
        <w:spacing w:after="80"/>
      </w:pPr>
      <w:r>
        <w:t xml:space="preserve">AXA Gulf</w:t>
      </w:r>
    </w:p>
    <w:p>
      <w:pPr>
        <w:pStyle w:val="ListParagraph"/>
        <w:numPr>
          <w:ilvl w:val="0"/>
          <w:numId w:val="2"/>
        </w:numPr>
        <w:spacing w:after="80"/>
      </w:pPr>
      <w:r>
        <w:t xml:space="preserve">Oman Insurance Company</w:t>
      </w:r>
    </w:p>
    <w:p>
      <w:pPr>
        <w:pStyle w:val="Heading1"/>
        <w:pageBreakBefore/>
      </w:pPr>
      <w:r>
        <w:rPr>
          <w:color w:val="0A2540"/>
        </w:rPr>
        <w:t xml:space="preserve">Appendix B  ·  Customer Discovery Interview Script</w:t>
      </w:r>
    </w:p>
    <w:p>
      <w:pPr>
        <w:spacing w:after="120"/>
      </w:pPr>
      <w:r>
        <w:t xml:space="preserve">Use this script for all Phase 1 interviews. Do not deviate. Do not pitch. The goal is to learn, not to sell.</w:t>
      </w:r>
    </w:p>
    <w:p>
      <w:pPr>
        <w:pStyle w:val="Heading3"/>
      </w:pPr>
      <w:r>
        <w:rPr>
          <w:color w:val="0A2540"/>
        </w:rPr>
        <w:t xml:space="preserve">Opening (2 minutes)</w:t>
      </w:r>
    </w:p>
    <w:p>
      <w:pPr>
        <w:spacing w:after="120"/>
      </w:pPr>
      <w:r>
        <w:t xml:space="preserve">“Thanks for taking the time. I’m exploring how rehabilitation clinics in the UAE think about patient adherence and outcome measurement. I’m specifically NOT pitching anything today — I just want to learn how your clinic actually works. Is it OK if I record audio for my own notes? Nothing will be shared.”</w:t>
      </w:r>
    </w:p>
    <w:p>
      <w:pPr>
        <w:pStyle w:val="Heading3"/>
      </w:pPr>
      <w:r>
        <w:rPr>
          <w:color w:val="0A2540"/>
        </w:rPr>
        <w:t xml:space="preserve">Question 1 — Their world (8 minutes)</w:t>
      </w:r>
    </w:p>
    <w:p>
      <w:pPr>
        <w:spacing w:after="120"/>
      </w:pPr>
      <w:r>
        <w:t xml:space="preserve">“Walk me through a typical day. From the moment you arrive at the clinic to when you leave. What takes the most time? What is most frustrating?”</w:t>
      </w:r>
    </w:p>
    <w:p>
      <w:pPr>
        <w:spacing w:after="120"/>
      </w:pPr>
      <w:r>
        <w:t xml:space="preserve">Listen for: time on documentation, no-show rates, patient drop-off, billing complexity, physiotherapist burnout.</w:t>
      </w:r>
    </w:p>
    <w:p>
      <w:pPr>
        <w:pStyle w:val="Heading3"/>
      </w:pPr>
      <w:r>
        <w:rPr>
          <w:color w:val="0A2540"/>
        </w:rPr>
        <w:t xml:space="preserve">Question 2 — The adherence problem (8 minutes)</w:t>
      </w:r>
    </w:p>
    <w:p>
      <w:pPr>
        <w:spacing w:after="120"/>
      </w:pPr>
      <w:r>
        <w:t xml:space="preserve">“When patients drop out before completing their program, what do you think is going on? What have you tried to fix it?”</w:t>
      </w:r>
    </w:p>
    <w:p>
      <w:pPr>
        <w:spacing w:after="120"/>
      </w:pPr>
      <w:r>
        <w:t xml:space="preserve">Listen for: causal beliefs (boredom vs pain vs cost vs scheduling), interventions tried, willingness to pay for solutions.</w:t>
      </w:r>
    </w:p>
    <w:p>
      <w:pPr>
        <w:pStyle w:val="Heading3"/>
      </w:pPr>
      <w:r>
        <w:rPr>
          <w:color w:val="0A2540"/>
        </w:rPr>
        <w:t xml:space="preserve">Question 3 — Tech adoption (5 minutes)</w:t>
      </w:r>
    </w:p>
    <w:p>
      <w:pPr>
        <w:spacing w:after="120"/>
      </w:pPr>
      <w:r>
        <w:t xml:space="preserve">“When was the last time your clinic adopted a new technology? How did that go?”</w:t>
      </w:r>
    </w:p>
    <w:p>
      <w:pPr>
        <w:spacing w:after="120"/>
      </w:pPr>
      <w:r>
        <w:t xml:space="preserve">Listen for: decision-making process, who has buying authority, deployment friction, churn signals.</w:t>
      </w:r>
    </w:p>
    <w:p>
      <w:pPr>
        <w:pStyle w:val="Heading3"/>
      </w:pPr>
      <w:r>
        <w:rPr>
          <w:color w:val="0A2540"/>
        </w:rPr>
        <w:t xml:space="preserve">Question 4 — Pricing willingness (5 minutes)</w:t>
      </w:r>
    </w:p>
    <w:p>
      <w:pPr>
        <w:spacing w:after="120"/>
      </w:pPr>
      <w:r>
        <w:t xml:space="preserve">“If there were a tool that demonstrably improved your patient session-completion rate by 30%, what would you pay for it monthly per location?”</w:t>
      </w:r>
    </w:p>
    <w:p>
      <w:pPr>
        <w:spacing w:after="120"/>
      </w:pPr>
      <w:r>
        <w:t xml:space="preserve">This is calibration, not a sales question. Anchor expectations against what they currently spend on EMR (roughly AED 1,500–4,000/month per clinic).</w:t>
      </w:r>
    </w:p>
    <w:p>
      <w:pPr>
        <w:pStyle w:val="Heading3"/>
      </w:pPr>
      <w:r>
        <w:rPr>
          <w:color w:val="0A2540"/>
        </w:rPr>
        <w:t xml:space="preserve">Question 5 — Network (2 minutes)</w:t>
      </w:r>
    </w:p>
    <w:p>
      <w:pPr>
        <w:spacing w:after="120"/>
      </w:pPr>
      <w:r>
        <w:t xml:space="preserve">“Who else should I be talking to? Whose opinion do you trust on this kind of decision?”</w:t>
      </w:r>
    </w:p>
    <w:p>
      <w:pPr>
        <w:spacing w:after="120"/>
      </w:pPr>
      <w:r>
        <w:t xml:space="preserve">This is the most important question. Every interview should generate at least 1–2 referrals. By interview 25, you should have a saturated map of the UAE rehab ecosystem.</w:t>
      </w:r>
    </w:p>
    <w:p>
      <w:pPr>
        <w:pStyle w:val="Heading3"/>
      </w:pPr>
      <w:r>
        <w:rPr>
          <w:color w:val="0A2540"/>
        </w:rPr>
        <w:t xml:space="preserve">Closing</w:t>
      </w:r>
    </w:p>
    <w:p>
      <w:pPr>
        <w:spacing w:after="120"/>
      </w:pPr>
      <w:r>
        <w:t xml:space="preserve">“Thank you. I’ll send you a short summary of what I learned across all my interviews when I’m done. Could I follow up with you in 60 days when I have a working prototype?”</w:t>
      </w:r>
    </w:p>
    <w:p>
      <w:pPr>
        <w:spacing w:after="120"/>
      </w:pPr>
      <w:r>
        <w:t xml:space="preserve">This soft commit is your re-entry point. Track who said yes.</w:t>
      </w:r>
    </w:p>
    <w:p>
      <w:pPr>
        <w:pStyle w:val="Heading1"/>
        <w:pageBreakBefore/>
      </w:pPr>
      <w:r>
        <w:rPr>
          <w:color w:val="0A2540"/>
        </w:rPr>
        <w:t xml:space="preserve">Appendix C  ·  Daily, Weekly, and 30-Day Cadence</w:t>
      </w:r>
    </w:p>
    <w:p>
      <w:pPr>
        <w:pStyle w:val="Heading2"/>
      </w:pPr>
      <w:r>
        <w:rPr>
          <w:color w:val="0A2540"/>
        </w:rPr>
        <w:t xml:space="preserve">Daily</w:t>
      </w:r>
    </w:p>
    <w:p>
      <w:pPr>
        <w:pStyle w:val="ListParagraph"/>
        <w:numPr>
          <w:ilvl w:val="0"/>
          <w:numId w:val="2"/>
        </w:numPr>
        <w:spacing w:after="80"/>
      </w:pPr>
      <w:r>
        <w:t xml:space="preserve">Morning: 30 min strategic block. Review yesterday’s outcomes, set today’s top three.</w:t>
      </w:r>
    </w:p>
    <w:p>
      <w:pPr>
        <w:pStyle w:val="ListParagraph"/>
        <w:numPr>
          <w:ilvl w:val="0"/>
          <w:numId w:val="2"/>
        </w:numPr>
        <w:spacing w:after="80"/>
      </w:pPr>
      <w:r>
        <w:t xml:space="preserve">Two customer-facing activities minimum (interview, pilot site visit, or advisor sync).</w:t>
      </w:r>
    </w:p>
    <w:p>
      <w:pPr>
        <w:pStyle w:val="ListParagraph"/>
        <w:numPr>
          <w:ilvl w:val="0"/>
          <w:numId w:val="2"/>
        </w:numPr>
        <w:spacing w:after="80"/>
      </w:pPr>
      <w:r>
        <w:t xml:space="preserve">End-of-day: 10 min CRM update. One sentence per touchpoint.</w:t>
      </w:r>
    </w:p>
    <w:p>
      <w:pPr>
        <w:pStyle w:val="Heading2"/>
      </w:pPr>
      <w:r>
        <w:rPr>
          <w:color w:val="0A2540"/>
        </w:rPr>
        <w:t xml:space="preserve">Weekly</w:t>
      </w:r>
    </w:p>
    <w:p>
      <w:pPr>
        <w:pStyle w:val="ListParagraph"/>
        <w:numPr>
          <w:ilvl w:val="0"/>
          <w:numId w:val="2"/>
        </w:numPr>
        <w:spacing w:after="80"/>
      </w:pPr>
      <w:r>
        <w:t xml:space="preserve">Monday: Week-ahead planning, advisor sync (1 hour).</w:t>
      </w:r>
    </w:p>
    <w:p>
      <w:pPr>
        <w:pStyle w:val="ListParagraph"/>
        <w:numPr>
          <w:ilvl w:val="0"/>
          <w:numId w:val="2"/>
        </w:numPr>
        <w:spacing w:after="80"/>
      </w:pPr>
      <w:r>
        <w:t xml:space="preserve">Friday: Week-in-review. What did I learn? What changed? What is the next biggest risk?</w:t>
      </w:r>
    </w:p>
    <w:p>
      <w:pPr>
        <w:pStyle w:val="ListParagraph"/>
        <w:numPr>
          <w:ilvl w:val="0"/>
          <w:numId w:val="2"/>
        </w:numPr>
        <w:spacing w:after="80"/>
      </w:pPr>
      <w:r>
        <w:t xml:space="preserve">Friday: Update KPI dashboard (interviews completed, sessions logged, pipeline value).</w:t>
      </w:r>
    </w:p>
    <w:p>
      <w:pPr>
        <w:pStyle w:val="Heading2"/>
      </w:pPr>
      <w:r>
        <w:rPr>
          <w:color w:val="0A2540"/>
        </w:rPr>
        <w:t xml:space="preserve">Every 30 Days</w:t>
      </w:r>
    </w:p>
    <w:p>
      <w:pPr>
        <w:pStyle w:val="ListParagraph"/>
        <w:numPr>
          <w:ilvl w:val="0"/>
          <w:numId w:val="2"/>
        </w:numPr>
        <w:spacing w:after="80"/>
      </w:pPr>
      <w:r>
        <w:t xml:space="preserve">Phase retrospective with clinical advisor and any other co-founders.</w:t>
      </w:r>
    </w:p>
    <w:p>
      <w:pPr>
        <w:pStyle w:val="ListParagraph"/>
        <w:numPr>
          <w:ilvl w:val="0"/>
          <w:numId w:val="2"/>
        </w:numPr>
        <w:spacing w:after="80"/>
      </w:pPr>
      <w:r>
        <w:t xml:space="preserve">Update the financial model with actuals.</w:t>
      </w:r>
    </w:p>
    <w:p>
      <w:pPr>
        <w:pStyle w:val="ListParagraph"/>
        <w:numPr>
          <w:ilvl w:val="0"/>
          <w:numId w:val="2"/>
        </w:numPr>
        <w:spacing w:after="80"/>
      </w:pPr>
      <w:r>
        <w:t xml:space="preserve">Re-sequence Phase plan if assumptions broke.</w:t>
      </w:r>
    </w:p>
    <w:p>
      <w:pPr>
        <w:pStyle w:val="Heading1"/>
        <w:pageBreakBefore/>
      </w:pPr>
      <w:r>
        <w:rPr>
          <w:color w:val="0A2540"/>
        </w:rPr>
        <w:t xml:space="preserve">Closing</w:t>
      </w:r>
    </w:p>
    <w:p>
      <w:pPr>
        <w:spacing w:after="120"/>
      </w:pPr>
      <w:r>
        <w:t xml:space="preserve">This plan compresses what most healthtech founders take 12–18 months to do into 90 days. That is not because the plan is shallow — it is because Dubai’s combination of insurance density, regulatory speed, and concentrated decision-makers genuinely allows for it. Use the speed.</w:t>
      </w:r>
    </w:p>
    <w:p>
      <w:pPr>
        <w:spacing w:after="120"/>
      </w:pPr>
      <w:r>
        <w:t xml:space="preserve">The single biggest predictor of success is intellectual honesty. If something in Phase 1 is signaling that the wedge is wrong, kill it on Day 21, not Day 89. The plan is engineered to surface bad news early, when it is still cheap.</w:t>
      </w:r>
    </w:p>
    <w:p>
      <w:pPr>
        <w:spacing w:after="120"/>
      </w:pPr>
      <w:r>
        <w:t xml:space="preserve">The single biggest predictor of failure is solo-founder isolation. Your clinical advisor is not optional. Get one by Day 21 or pause.</w:t>
      </w:r>
    </w:p>
    <w:p>
      <w:pPr>
        <w:spacing w:after="120"/>
      </w:pPr>
      <w:r>
        <w:rPr>
          <w:b/>
          <w:bCs/>
          <w:i/>
          <w:iCs/>
        </w:rPr>
        <w:t xml:space="preserve">Good luck.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4748B"/>
        <w:sz w:val="18"/>
        <w:szCs w:val="18"/>
      </w:rPr>
      <w:t xml:space="preserve">Prepared April 2026  ·  Dubai, UAE</w:t>
    </w:r>
    <w:r>
      <w:rPr>
        <w:color w:val="64748B"/>
        <w:sz w:val="18"/>
        <w:szCs w:val="18"/>
      </w:rPr>
      <w:t xml:space="preserve">	</w:t>
    </w:r>
    <w:r>
      <w:rPr>
        <w:color w:val="64748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0A2540"/>
        <w:sz w:val="18"/>
        <w:szCs w:val="18"/>
      </w:rPr>
      <w:t xml:space="preserve">CUVR  ·  90-Day Validation Plan</w:t>
    </w:r>
    <w:r>
      <w:rPr>
        <w:i/>
        <w:iCs/>
        <w:color w:val="64748B"/>
        <w:sz w:val="18"/>
        <w:szCs w:val="18"/>
      </w:rPr>
      <w:t xml:space="preserve">	Confidential — Internal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254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A254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A6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CUVR 90-Day Validation Plan</dc:title>
  <dc:creator>CUVR</dc:creator>
  <cp:lastModifiedBy>Un-named</cp:lastModifiedBy>
  <cp:revision>1</cp:revision>
  <dcterms:created xsi:type="dcterms:W3CDTF">2026-04-28T13:12:55.569Z</dcterms:created>
  <dcterms:modified xsi:type="dcterms:W3CDTF">2026-04-28T13:12:55.572Z</dcterms:modified>
</cp:coreProperties>
</file>

<file path=docProps/custom.xml><?xml version="1.0" encoding="utf-8"?>
<Properties xmlns="http://schemas.openxmlformats.org/officeDocument/2006/custom-properties" xmlns:vt="http://schemas.openxmlformats.org/officeDocument/2006/docPropsVTypes"/>
</file>