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0A2540"/>
          <w:sz w:val="96"/>
          <w:szCs w:val="96"/>
        </w:rPr>
        <w:t xml:space="preserve">CUVR</w:t>
      </w:r>
    </w:p>
    <w:p>
      <w:pPr>
        <w:spacing w:after="300"/>
        <w:jc w:val="center"/>
      </w:pPr>
      <w:r>
        <w:rPr>
          <w:color w:val="00A685"/>
          <w:sz w:val="44"/>
          <w:szCs w:val="44"/>
        </w:rPr>
        <w:t xml:space="preserve">Competitor Teardown</w:t>
      </w:r>
    </w:p>
    <w:p>
      <w:pPr>
        <w:spacing w:after="600"/>
        <w:jc w:val="center"/>
      </w:pPr>
      <w:r>
        <w:rPr>
          <w:i/>
          <w:iCs/>
          <w:color w:val="64748B"/>
          <w:sz w:val="22"/>
          <w:szCs w:val="22"/>
        </w:rPr>
        <w:t xml:space="preserve">Honest analysis of who CUVR is up against, where they are weak, and where we can win</w:t>
      </w:r>
    </w:p>
    <w:tbl>
      <w:tblPr>
        <w:tblW w:type="dxa" w:w="9360"/>
        <w:tblBorders>
          <w:top w:val="none"/>
          <w:left w:val="single" w:color="00A685" w:sz="24"/>
          <w:bottom w:val="none"/>
          <w:right w:val="none"/>
          <w:insideH w:val="none"/>
          <w:insideV w:val="none"/>
        </w:tblBorders>
      </w:tblPr>
      <w:tblGrid>
        <w:gridCol w:w="9360"/>
      </w:tblGrid>
      <w:tr>
        <w:tc>
          <w:tcPr>
            <w:tcW w:type="dxa" w:w="9360"/>
            <w:shd w:fill="F8FAFB" w:val="clear"/>
            <w:tcMar>
              <w:top w:type="dxa" w:w="160"/>
              <w:left w:type="dxa" w:w="240"/>
              <w:bottom w:type="dxa" w:w="160"/>
              <w:right w:type="dxa" w:w="240"/>
            </w:tcMar>
          </w:tcPr>
          <w:p>
            <w:r>
              <w:rPr>
                <w:i/>
                <w:iCs/>
                <w:color w:val="0A2540"/>
              </w:rPr>
              <w:t xml:space="preserve">None of the established VR rehabilitation companies have meaningful GCC presence today. Each has structural weaknesses that an MENA-native, B2B2C-positioned, clinically-disciplined entrant can exploit. The competitive question for CUVR is not whether to compete with XRHealth or MindMaze — it is whether to capture the GCC before they bother showing up.</w:t>
            </w:r>
          </w:p>
        </w:tc>
      </w:tr>
    </w:tbl>
    <w:p>
      <w:pPr>
        <w:pStyle w:val="Heading1"/>
      </w:pPr>
      <w:r>
        <w:rPr>
          <w:color w:val="0A2540"/>
        </w:rPr>
        <w:t xml:space="preserve">How to Read This Document</w:t>
      </w:r>
    </w:p>
    <w:p>
      <w:pPr>
        <w:spacing w:after="140"/>
      </w:pPr>
      <w:r>
        <w:t xml:space="preserve">Each competitor profile has the same structure: company snapshot, product, pricing and go-to-market, traction signals, strengths, weaknesses, and the specific implications for CUVR. The goal is not exhaustive description — it is to identify exactly where each competitor is vulnerable and how CUVR’s positioning exploits that vulnerability.</w:t>
      </w:r>
    </w:p>
    <w:p>
      <w:pPr>
        <w:spacing w:after="140"/>
      </w:pPr>
      <w:r>
        <w:rPr>
          <w:i/>
          <w:iCs/>
        </w:rPr>
        <w:t xml:space="preserve">All financial figures are based on publicly disclosed information, investor pitch decks, press coverage, and reasonable triangulation. Some private metrics are estimated. Where estimates are uncertain, this is flagged.</w:t>
      </w:r>
    </w:p>
    <w:p>
      <w:pPr>
        <w:pStyle w:val="Heading2"/>
      </w:pPr>
      <w:r>
        <w:rPr>
          <w:color w:val="0A2540"/>
        </w:rPr>
        <w:t xml:space="preserve">At-a-Glance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Competitor</w:t>
            </w:r>
          </w:p>
        </w:tc>
        <w:tc>
          <w:tcPr>
            <w:tcW w:type="dxa" w:w="240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Focus</w:t>
            </w:r>
          </w:p>
        </w:tc>
        <w:tc>
          <w:tcPr>
            <w:tcW w:type="dxa" w:w="260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Channel</w:t>
            </w:r>
          </w:p>
        </w:tc>
        <w:tc>
          <w:tcPr>
            <w:tcW w:type="dxa" w:w="2160"/>
            <w:tcBorders>
              <w:top w:val="single" w:color="E2E8F0" w:sz="4"/>
              <w:left w:val="single" w:color="E2E8F0" w:sz="4"/>
              <w:bottom w:val="single" w:color="E2E8F0" w:sz="4"/>
              <w:right w:val="single" w:color="E2E8F0" w:sz="4"/>
            </w:tcBorders>
            <w:shd w:fill="0A2540" w:val="clear"/>
            <w:tcMar>
              <w:top w:type="dxa" w:w="100"/>
              <w:left w:type="dxa" w:w="140"/>
              <w:bottom w:type="dxa" w:w="100"/>
              <w:right w:type="dxa" w:w="140"/>
            </w:tcMar>
          </w:tcPr>
          <w:p>
            <w:r>
              <w:rPr>
                <w:b/>
                <w:bCs/>
                <w:color w:val="FFFFFF"/>
              </w:rPr>
              <w:t xml:space="preserve">GCC presence</w:t>
            </w:r>
          </w:p>
        </w:tc>
      </w:tr>
      <w:tr>
        <w:tc>
          <w:tcPr>
            <w:tcW w:type="dxa" w:w="22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XRHealth</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Broad clinical VR</w:t>
            </w:r>
          </w:p>
        </w:tc>
        <w:tc>
          <w:tcPr>
            <w:tcW w:type="dxa" w:w="26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Clinic + telehealth</w:t>
            </w:r>
          </w:p>
        </w:tc>
        <w:tc>
          <w:tcPr>
            <w:tcW w:type="dxa" w:w="21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None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MindMaze</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Neuro / stroke</w:t>
            </w:r>
          </w:p>
        </w:tc>
        <w:tc>
          <w:tcPr>
            <w:tcW w:type="dxa" w:w="2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Hospital</w:t>
            </w:r>
          </w:p>
        </w:tc>
        <w:tc>
          <w:tcPr>
            <w:tcW w:type="dxa" w:w="2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Pilots only (CCAD)</w:t>
            </w:r>
          </w:p>
        </w:tc>
      </w:tr>
      <w:tr>
        <w:tc>
          <w:tcPr>
            <w:tcW w:type="dxa" w:w="22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Penumbra REAL</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Hospital neuro / ortho</w:t>
            </w:r>
          </w:p>
        </w:tc>
        <w:tc>
          <w:tcPr>
            <w:tcW w:type="dxa" w:w="26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Hospital direct</w:t>
            </w:r>
          </w:p>
        </w:tc>
        <w:tc>
          <w:tcPr>
            <w:tcW w:type="dxa" w:w="21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None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Neuro Rehab VR</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Stroke + balance</w:t>
            </w:r>
          </w:p>
        </w:tc>
        <w:tc>
          <w:tcPr>
            <w:tcW w:type="dxa" w:w="2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Clinic SaaS</w:t>
            </w:r>
          </w:p>
        </w:tc>
        <w:tc>
          <w:tcPr>
            <w:tcW w:type="dxa" w:w="2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None</w:t>
            </w:r>
          </w:p>
        </w:tc>
      </w:tr>
      <w:tr>
        <w:tc>
          <w:tcPr>
            <w:tcW w:type="dxa" w:w="22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Karuna Labs</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Chronic pain</w:t>
            </w:r>
          </w:p>
        </w:tc>
        <w:tc>
          <w:tcPr>
            <w:tcW w:type="dxa" w:w="26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Clinic + DTC</w:t>
            </w:r>
          </w:p>
        </w:tc>
        <w:tc>
          <w:tcPr>
            <w:tcW w:type="dxa" w:w="21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None</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Cuvr.io</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Generalist VR rehab</w:t>
            </w:r>
          </w:p>
        </w:tc>
        <w:tc>
          <w:tcPr>
            <w:tcW w:type="dxa" w:w="2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Clinic, US only</w:t>
            </w:r>
          </w:p>
        </w:tc>
        <w:tc>
          <w:tcPr>
            <w:tcW w:type="dxa" w:w="2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None (brand collision)</w:t>
            </w:r>
          </w:p>
        </w:tc>
      </w:tr>
      <w:tr>
        <w:tc>
          <w:tcPr>
            <w:tcW w:type="dxa" w:w="22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bCs/>
              </w:rPr>
              <w:t xml:space="preserve">Oncomfort</w:t>
            </w:r>
          </w:p>
        </w:tc>
        <w:tc>
          <w:tcPr>
            <w:tcW w:type="dxa" w:w="24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Procedural pain</w:t>
            </w:r>
          </w:p>
        </w:tc>
        <w:tc>
          <w:tcPr>
            <w:tcW w:type="dxa" w:w="260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Hospital</w:t>
            </w:r>
          </w:p>
        </w:tc>
        <w:tc>
          <w:tcPr>
            <w:tcW w:type="dxa" w:w="2160"/>
            <w:tcBorders>
              <w:top w:val="single" w:color="E2E8F0" w:sz="4"/>
              <w:left w:val="single" w:color="E2E8F0" w:sz="4"/>
              <w:bottom w:val="single" w:color="E2E8F0" w:sz="4"/>
              <w:right w:val="single" w:color="E2E8F0" w:sz="4"/>
            </w:tcBorders>
            <w:shd w:fill="F8FAFB" w:val="clear"/>
            <w:tcMar>
              <w:top w:type="dxa" w:w="100"/>
              <w:left w:type="dxa" w:w="140"/>
              <w:bottom w:type="dxa" w:w="100"/>
              <w:right w:type="dxa" w:w="140"/>
            </w:tcMar>
          </w:tcPr>
          <w:p>
            <w:r>
              <w:rPr>
                <w:b w:val="false"/>
                <w:bCs w:val="false"/>
              </w:rPr>
              <w:t xml:space="preserve">Saudi pilot</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bCs/>
              </w:rPr>
              <w:t xml:space="preserve">Hinge / Kaia (substitutes)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Telehealth physio</w:t>
            </w:r>
          </w:p>
        </w:tc>
        <w:tc>
          <w:tcPr>
            <w:tcW w:type="dxa" w:w="2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DTC, employer</w:t>
            </w:r>
          </w:p>
        </w:tc>
        <w:tc>
          <w:tcPr>
            <w:tcW w:type="dxa" w:w="2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r>
              <w:rPr>
                <w:b w:val="false"/>
                <w:bCs w:val="false"/>
              </w:rPr>
              <w:t xml:space="preserve">Limited</w:t>
            </w:r>
          </w:p>
        </w:tc>
      </w:tr>
    </w:tbl>
    <w:p>
      <w:pPr>
        <w:pStyle w:val="Heading1"/>
        <w:pageBreakBefore/>
      </w:pPr>
      <w:r>
        <w:rPr>
          <w:color w:val="0A2540"/>
        </w:rPr>
        <w:t xml:space="preserve">XRHealth</w:t>
      </w:r>
    </w:p>
    <w:tbl>
      <w:tblPr>
        <w:tblW w:type="dxa" w:w="9360"/>
        <w:tblBorders>
          <w:top w:val="single" w:color="0A2540" w:sz="6"/>
          <w:left w:val="none"/>
          <w:bottom w:val="single" w:color="0A2540" w:sz="6"/>
          <w:right w:val="none"/>
          <w:insideH w:val="single" w:color="E2E8F0" w:sz="2"/>
          <w:insideV w:val="none"/>
        </w:tblBorders>
      </w:tblPr>
      <w:tblGrid>
        <w:gridCol w:w="9360"/>
      </w:tblGrid>
      <w:tr>
        <w:tc>
          <w:tcPr>
            <w:tcW w:type="dxa" w:w="9360"/>
            <w:shd w:fill="0A2540" w:val="clear"/>
            <w:tcMar>
              <w:top w:type="dxa" w:w="140"/>
              <w:left w:type="dxa" w:w="240"/>
              <w:bottom w:type="dxa" w:w="140"/>
              <w:right w:type="dxa" w:w="240"/>
            </w:tcMar>
          </w:tcPr>
          <w:p>
            <w:r>
              <w:rPr>
                <w:b/>
                <w:bCs/>
                <w:color w:val="FFFFFF"/>
                <w:sz w:val="28"/>
                <w:szCs w:val="28"/>
              </w:rPr>
              <w:t xml:space="preserve">XRHealth</w:t>
            </w:r>
          </w:p>
          <w:p>
            <w:r>
              <w:rPr>
                <w:i/>
                <w:iCs/>
                <w:color w:val="B6E5D8"/>
                <w:sz w:val="22"/>
                <w:szCs w:val="22"/>
              </w:rPr>
              <w:t xml:space="preserve">VR therapy SaaS for clinics and home use</w:t>
            </w:r>
          </w:p>
        </w:tc>
      </w:tr>
      <w:tr>
        <w:tc>
          <w:tcPr>
            <w:tcW w:type="dxa" w:w="9360"/>
            <w:shd w:fill="F8FAFB" w:val="clear"/>
            <w:tcMar>
              <w:top w:type="dxa" w:w="100"/>
              <w:left w:type="dxa" w:w="240"/>
              <w:bottom w:type="dxa" w:w="100"/>
              <w:right w:type="dxa" w:w="240"/>
            </w:tcMar>
          </w:tcPr>
          <w:p>
            <w:r>
              <w:rPr>
                <w:b/>
                <w:bCs/>
                <w:color w:val="0A2540"/>
              </w:rPr>
              <w:t xml:space="preserve">HQ: </w:t>
            </w:r>
            <w:r>
              <w:t xml:space="preserve">Boston, MA / Tel Aviv    </w:t>
            </w:r>
            <w:r>
              <w:rPr>
                <w:b/>
                <w:bCs/>
                <w:color w:val="0A2540"/>
              </w:rPr>
              <w:t xml:space="preserve">Founded: </w:t>
            </w:r>
            <w:r>
              <w:t xml:space="preserve">2016    </w:t>
            </w:r>
            <w:r>
              <w:rPr>
                <w:b/>
                <w:bCs/>
                <w:color w:val="0A2540"/>
              </w:rPr>
              <w:t xml:space="preserve">Capital raised: </w:t>
            </w:r>
            <w:r>
              <w:t xml:space="preserve">USD 24M+    </w:t>
            </w:r>
            <w:r>
              <w:rPr>
                <w:b/>
                <w:bCs/>
                <w:color w:val="0A2540"/>
              </w:rPr>
              <w:t xml:space="preserve">CEO: </w:t>
            </w:r>
            <w:r>
              <w:t xml:space="preserve">Eran Orr</w:t>
            </w:r>
          </w:p>
        </w:tc>
      </w:tr>
    </w:tbl>
    <w:p>
      <w:pPr>
        <w:pStyle w:val="Heading2"/>
      </w:pPr>
      <w:r>
        <w:rPr>
          <w:color w:val="0A2540"/>
        </w:rPr>
        <w:t xml:space="preserve">What They Do</w:t>
      </w:r>
    </w:p>
    <w:p>
      <w:pPr>
        <w:spacing w:after="140"/>
      </w:pPr>
      <w:r>
        <w:t xml:space="preserve">XRHealth offers a cloud-based VR therapy platform with clinical content across cognitive rehab, physical therapy, pain management, and behavioral health. They sell SaaS subscriptions to clinics, hospitals, and increasingly direct-to-consumer through telehealth-style virtual VR clinics. They support multiple headsets (Quest, Pico) and have a clinical-grade content library of 80+ applications.</w:t>
      </w:r>
    </w:p>
    <w:p>
      <w:pPr>
        <w:pStyle w:val="Heading2"/>
      </w:pPr>
      <w:r>
        <w:rPr>
          <w:color w:val="0A2540"/>
        </w:rPr>
        <w:t xml:space="preserve">Pricing and GTM</w:t>
      </w:r>
    </w:p>
    <w:p>
      <w:pPr>
        <w:spacing w:after="140"/>
      </w:pPr>
      <w:r>
        <w:t xml:space="preserve">XRHealth pricing is opaque (sales-led) but verifiable from clinic-leak sources: USD 200/month per clinician seat, plus USD 800–1,200 setup fee, plus headset cost (typically USD 500–600 passed through). Their direct-to-consumer line (XRHealth Virtual Clinic) charges patients USD 79/month subscription with insurance billing assistance.</w:t>
      </w:r>
    </w:p>
    <w:p>
      <w:pPr>
        <w:spacing w:after="140"/>
      </w:pPr>
      <w:r>
        <w:t xml:space="preserve">GTM is hybrid: enterprise sales for clinics and hospitals, plus a growing telehealth direct-to-patient channel. They have signed integrations with several US hospital systems (Cedars-Sinai, Mount Sinai) and have a VA Hospital pilot program.</w:t>
      </w:r>
    </w:p>
    <w:p>
      <w:pPr>
        <w:pStyle w:val="Heading2"/>
      </w:pPr>
      <w:r>
        <w:rPr>
          <w:color w:val="0A2540"/>
        </w:rPr>
        <w:t xml:space="preserve">Traction Signals</w:t>
      </w:r>
    </w:p>
    <w:p>
      <w:pPr>
        <w:pStyle w:val="ListParagraph"/>
        <w:numPr>
          <w:ilvl w:val="0"/>
          <w:numId w:val="2"/>
        </w:numPr>
        <w:spacing w:after="80"/>
      </w:pPr>
      <w:r>
        <w:t xml:space="preserve">Reported 100,000+ patient sessions cumulative through 2024.</w:t>
      </w:r>
    </w:p>
    <w:p>
      <w:pPr>
        <w:pStyle w:val="ListParagraph"/>
        <w:numPr>
          <w:ilvl w:val="0"/>
          <w:numId w:val="2"/>
        </w:numPr>
        <w:spacing w:after="80"/>
      </w:pPr>
      <w:r>
        <w:t xml:space="preserve">Active in US, UK, Australia, Israel.</w:t>
      </w:r>
    </w:p>
    <w:p>
      <w:pPr>
        <w:pStyle w:val="ListParagraph"/>
        <w:numPr>
          <w:ilvl w:val="0"/>
          <w:numId w:val="2"/>
        </w:numPr>
        <w:spacing w:after="80"/>
      </w:pPr>
      <w:r>
        <w:t xml:space="preserve">FDA cleared for several modules (cognitive testing, pain).</w:t>
      </w:r>
    </w:p>
    <w:p>
      <w:pPr>
        <w:pStyle w:val="ListParagraph"/>
        <w:numPr>
          <w:ilvl w:val="0"/>
          <w:numId w:val="2"/>
        </w:numPr>
        <w:spacing w:after="80"/>
      </w:pPr>
      <w:r>
        <w:t xml:space="preserve">USD ~24M total raised across Seed and Series A (Bridges Israel, Flint Capital, others).</w:t>
      </w:r>
    </w:p>
    <w:p>
      <w:pPr>
        <w:pStyle w:val="Heading2"/>
      </w:pPr>
      <w:r>
        <w:rPr>
          <w:color w:val="0A2540"/>
        </w:rPr>
        <w:t xml:space="preserve">Strengths</w:t>
      </w:r>
    </w:p>
    <w:p>
      <w:pPr>
        <w:pStyle w:val="ListParagraph"/>
        <w:numPr>
          <w:ilvl w:val="0"/>
          <w:numId w:val="2"/>
        </w:numPr>
        <w:spacing w:after="80"/>
      </w:pPr>
      <w:r>
        <w:t xml:space="preserve">Largest clinical VR content library in the world.</w:t>
      </w:r>
    </w:p>
    <w:p>
      <w:pPr>
        <w:pStyle w:val="ListParagraph"/>
        <w:numPr>
          <w:ilvl w:val="0"/>
          <w:numId w:val="2"/>
        </w:numPr>
        <w:spacing w:after="80"/>
      </w:pPr>
      <w:r>
        <w:t xml:space="preserve">Strongest brand recognition among the clinical VR set.</w:t>
      </w:r>
    </w:p>
    <w:p>
      <w:pPr>
        <w:pStyle w:val="ListParagraph"/>
        <w:numPr>
          <w:ilvl w:val="0"/>
          <w:numId w:val="2"/>
        </w:numPr>
        <w:spacing w:after="80"/>
      </w:pPr>
      <w:r>
        <w:t xml:space="preserve">Multi-headset hardware-agnostic platform.</w:t>
      </w:r>
    </w:p>
    <w:p>
      <w:pPr>
        <w:pStyle w:val="ListParagraph"/>
        <w:numPr>
          <w:ilvl w:val="0"/>
          <w:numId w:val="2"/>
        </w:numPr>
        <w:spacing w:after="80"/>
      </w:pPr>
      <w:r>
        <w:t xml:space="preserve">Aggressive direct-to-consumer expansion is generating cash flow that competitors can’t match.</w:t>
      </w:r>
    </w:p>
    <w:p>
      <w:pPr>
        <w:pStyle w:val="Heading2"/>
      </w:pPr>
      <w:r>
        <w:rPr>
          <w:color w:val="0A2540"/>
        </w:rPr>
        <w:t xml:space="preserve">Weaknesses</w:t>
      </w:r>
    </w:p>
    <w:p>
      <w:pPr>
        <w:pStyle w:val="ListParagraph"/>
        <w:numPr>
          <w:ilvl w:val="0"/>
          <w:numId w:val="2"/>
        </w:numPr>
        <w:spacing w:after="80"/>
      </w:pPr>
      <w:r>
        <w:t xml:space="preserve">No GCC, MENA, or Arabic-language support. Localization is a 12+ month project they have not started.</w:t>
      </w:r>
    </w:p>
    <w:p>
      <w:pPr>
        <w:pStyle w:val="ListParagraph"/>
        <w:numPr>
          <w:ilvl w:val="0"/>
          <w:numId w:val="2"/>
        </w:numPr>
        <w:spacing w:after="80"/>
      </w:pPr>
      <w:r>
        <w:t xml:space="preserve">Telehealth pivot has diluted their B2B clinic positioning. Clinics report concerns about XRHealth disintermediating them.</w:t>
      </w:r>
    </w:p>
    <w:p>
      <w:pPr>
        <w:pStyle w:val="ListParagraph"/>
        <w:numPr>
          <w:ilvl w:val="0"/>
          <w:numId w:val="2"/>
        </w:numPr>
        <w:spacing w:after="80"/>
      </w:pPr>
      <w:r>
        <w:t xml:space="preserve">Clinical evidence is broad but shallow — many small studies, no large-N RCT comparable to MindMaze.</w:t>
      </w:r>
    </w:p>
    <w:p>
      <w:pPr>
        <w:pStyle w:val="ListParagraph"/>
        <w:numPr>
          <w:ilvl w:val="0"/>
          <w:numId w:val="2"/>
        </w:numPr>
        <w:spacing w:after="80"/>
      </w:pPr>
      <w:r>
        <w:t xml:space="preserve">Pricing is high relative to GCC clinic willingness-to-pay; their per-seat model penalizes high-utilization clinics.</w:t>
      </w:r>
    </w:p>
    <w:p>
      <w:pPr>
        <w:pStyle w:val="ListParagraph"/>
        <w:numPr>
          <w:ilvl w:val="0"/>
          <w:numId w:val="2"/>
        </w:numPr>
        <w:spacing w:after="80"/>
      </w:pPr>
      <w:r>
        <w:t xml:space="preserve">USD-denominated billing creates FX risk for GCC partners.</w:t>
      </w:r>
    </w:p>
    <w:p>
      <w:pPr>
        <w:pStyle w:val="Heading2"/>
      </w:pPr>
      <w:r>
        <w:rPr>
          <w:color w:val="0A2540"/>
        </w:rPr>
        <w:t xml:space="preserve">Implications for CUVR</w:t>
      </w:r>
    </w:p>
    <w:tbl>
      <w:tblPr>
        <w:tblW w:type="dxa" w:w="9360"/>
        <w:tblBorders>
          <w:top w:val="none"/>
          <w:left w:val="single" w:color="00A685" w:sz="24"/>
          <w:bottom w:val="none"/>
          <w:right w:val="none"/>
          <w:insideH w:val="none"/>
          <w:insideV w:val="none"/>
        </w:tblBorders>
      </w:tblPr>
      <w:tblGrid>
        <w:gridCol w:w="9360"/>
      </w:tblGrid>
      <w:tr>
        <w:tc>
          <w:tcPr>
            <w:tcW w:type="dxa" w:w="9360"/>
            <w:shd w:fill="F8FAFB" w:val="clear"/>
            <w:tcMar>
              <w:top w:type="dxa" w:w="160"/>
              <w:left w:type="dxa" w:w="240"/>
              <w:bottom w:type="dxa" w:w="160"/>
              <w:right w:type="dxa" w:w="240"/>
            </w:tcMar>
          </w:tcPr>
          <w:p>
            <w:r>
              <w:rPr>
                <w:i/>
                <w:iCs/>
                <w:color w:val="0A2540"/>
              </w:rPr>
              <w:t xml:space="preserve">XRHealth is the brand we will be benchmarked against. We win on three vectors: (1) GCC-native pricing in AED, (2) clinic-aligned not patient-disintermediating model, (3) regional regulatory pre-clearance. Build messaging that explicitly addresses 'why not XRHealth' — clinics WILL ask.</w:t>
            </w:r>
          </w:p>
        </w:tc>
      </w:tr>
    </w:tbl>
    <w:p>
      <w:pPr>
        <w:pStyle w:val="Heading1"/>
        <w:pageBreakBefore/>
      </w:pPr>
      <w:r>
        <w:rPr>
          <w:color w:val="0A2540"/>
        </w:rPr>
        <w:t xml:space="preserve">MindMaze</w:t>
      </w:r>
    </w:p>
    <w:tbl>
      <w:tblPr>
        <w:tblW w:type="dxa" w:w="9360"/>
        <w:tblBorders>
          <w:top w:val="single" w:color="0A2540" w:sz="6"/>
          <w:left w:val="none"/>
          <w:bottom w:val="single" w:color="0A2540" w:sz="6"/>
          <w:right w:val="none"/>
          <w:insideH w:val="single" w:color="E2E8F0" w:sz="2"/>
          <w:insideV w:val="none"/>
        </w:tblBorders>
      </w:tblPr>
      <w:tblGrid>
        <w:gridCol w:w="9360"/>
      </w:tblGrid>
      <w:tr>
        <w:tc>
          <w:tcPr>
            <w:tcW w:type="dxa" w:w="9360"/>
            <w:shd w:fill="0A2540" w:val="clear"/>
            <w:tcMar>
              <w:top w:type="dxa" w:w="140"/>
              <w:left w:type="dxa" w:w="240"/>
              <w:bottom w:type="dxa" w:w="140"/>
              <w:right w:type="dxa" w:w="240"/>
            </w:tcMar>
          </w:tcPr>
          <w:p>
            <w:r>
              <w:rPr>
                <w:b/>
                <w:bCs/>
                <w:color w:val="FFFFFF"/>
                <w:sz w:val="28"/>
                <w:szCs w:val="28"/>
              </w:rPr>
              <w:t xml:space="preserve">MindMaze</w:t>
            </w:r>
          </w:p>
          <w:p>
            <w:r>
              <w:rPr>
                <w:i/>
                <w:iCs/>
                <w:color w:val="B6E5D8"/>
                <w:sz w:val="22"/>
                <w:szCs w:val="22"/>
              </w:rPr>
              <w:t xml:space="preserve">Neuroscience VR for stroke rehab and motor recovery</w:t>
            </w:r>
          </w:p>
        </w:tc>
      </w:tr>
      <w:tr>
        <w:tc>
          <w:tcPr>
            <w:tcW w:type="dxa" w:w="9360"/>
            <w:shd w:fill="F8FAFB" w:val="clear"/>
            <w:tcMar>
              <w:top w:type="dxa" w:w="100"/>
              <w:left w:type="dxa" w:w="240"/>
              <w:bottom w:type="dxa" w:w="100"/>
              <w:right w:type="dxa" w:w="240"/>
            </w:tcMar>
          </w:tcPr>
          <w:p>
            <w:r>
              <w:rPr>
                <w:b/>
                <w:bCs/>
                <w:color w:val="0A2540"/>
              </w:rPr>
              <w:t xml:space="preserve">HQ: </w:t>
            </w:r>
            <w:r>
              <w:t xml:space="preserve">Lausanne, Switzerland    </w:t>
            </w:r>
            <w:r>
              <w:rPr>
                <w:b/>
                <w:bCs/>
                <w:color w:val="0A2540"/>
              </w:rPr>
              <w:t xml:space="preserve">Founded: </w:t>
            </w:r>
            <w:r>
              <w:t xml:space="preserve">2012    </w:t>
            </w:r>
            <w:r>
              <w:rPr>
                <w:b/>
                <w:bCs/>
                <w:color w:val="0A2540"/>
              </w:rPr>
              <w:t xml:space="preserve">Capital raised: </w:t>
            </w:r>
            <w:r>
              <w:t xml:space="preserve">USD 200M+    </w:t>
            </w:r>
            <w:r>
              <w:rPr>
                <w:b/>
                <w:bCs/>
                <w:color w:val="0A2540"/>
              </w:rPr>
              <w:t xml:space="preserve">CEO: </w:t>
            </w:r>
            <w:r>
              <w:t xml:space="preserve">Tej Tadi</w:t>
            </w:r>
          </w:p>
        </w:tc>
      </w:tr>
    </w:tbl>
    <w:p>
      <w:pPr>
        <w:pStyle w:val="Heading2"/>
      </w:pPr>
      <w:r>
        <w:rPr>
          <w:color w:val="0A2540"/>
        </w:rPr>
        <w:t xml:space="preserve">What They Do</w:t>
      </w:r>
    </w:p>
    <w:p>
      <w:pPr>
        <w:spacing w:after="140"/>
      </w:pPr>
      <w:r>
        <w:t xml:space="preserve">MindMaze is the highest-funded clinical VR company globally and the gold standard for neurological rehabilitation. Their flagship products — MindMotion PRO and MindMotion GO — combine VR, motion tracking, and neurofeedback to deliver post-stroke motor recovery therapy. Both are FDA cleared and CE marked. Their clinical evidence base is by far the strongest in the field.</w:t>
      </w:r>
    </w:p>
    <w:p>
      <w:pPr>
        <w:pStyle w:val="Heading2"/>
      </w:pPr>
      <w:r>
        <w:rPr>
          <w:color w:val="0A2540"/>
        </w:rPr>
        <w:t xml:space="preserve">Pricing and GTM</w:t>
      </w:r>
    </w:p>
    <w:p>
      <w:pPr>
        <w:spacing w:after="140"/>
      </w:pPr>
      <w:r>
        <w:t xml:space="preserve">MindMaze sells primarily into hospital networks and large rehabilitation centers. Pricing is enterprise: estimated USD 35,000–60,000 per system upfront plus USD 12,000–20,000 annual software maintenance. Average sales cycle is 12–18 months. They do not sell to small clinics.</w:t>
      </w:r>
    </w:p>
    <w:p>
      <w:pPr>
        <w:spacing w:after="140"/>
      </w:pPr>
      <w:r>
        <w:t xml:space="preserve">Recently launched MindPod Dolphin, a children’s and adolescent neuro product, expanding their addressable market into pediatric rehab — a market segment that overlaps directly with CUVR’s pediatric protocol library.</w:t>
      </w:r>
    </w:p>
    <w:p>
      <w:pPr>
        <w:pStyle w:val="Heading2"/>
      </w:pPr>
      <w:r>
        <w:rPr>
          <w:color w:val="0A2540"/>
        </w:rPr>
        <w:t xml:space="preserve">Traction Signals</w:t>
      </w:r>
    </w:p>
    <w:p>
      <w:pPr>
        <w:pStyle w:val="ListParagraph"/>
        <w:numPr>
          <w:ilvl w:val="0"/>
          <w:numId w:val="2"/>
        </w:numPr>
        <w:spacing w:after="80"/>
      </w:pPr>
      <w:r>
        <w:t xml:space="preserve">Deployed in 200+ hospitals globally (US, EU, Asia).</w:t>
      </w:r>
    </w:p>
    <w:p>
      <w:pPr>
        <w:pStyle w:val="ListParagraph"/>
        <w:numPr>
          <w:ilvl w:val="0"/>
          <w:numId w:val="2"/>
        </w:numPr>
        <w:spacing w:after="80"/>
      </w:pPr>
      <w:r>
        <w:t xml:space="preserve">FDA 510(k) clearance for stroke and TBI.</w:t>
      </w:r>
    </w:p>
    <w:p>
      <w:pPr>
        <w:pStyle w:val="ListParagraph"/>
        <w:numPr>
          <w:ilvl w:val="0"/>
          <w:numId w:val="2"/>
        </w:numPr>
        <w:spacing w:after="80"/>
      </w:pPr>
      <w:r>
        <w:t xml:space="preserve">Published 30+ peer-reviewed clinical studies.</w:t>
      </w:r>
    </w:p>
    <w:p>
      <w:pPr>
        <w:pStyle w:val="ListParagraph"/>
        <w:numPr>
          <w:ilvl w:val="0"/>
          <w:numId w:val="2"/>
        </w:numPr>
        <w:spacing w:after="80"/>
      </w:pPr>
      <w:r>
        <w:t xml:space="preserve">Cleveland Clinic Abu Dhabi has piloted MindMaze (status: limited rollout, not at scale).</w:t>
      </w:r>
    </w:p>
    <w:p>
      <w:pPr>
        <w:pStyle w:val="ListParagraph"/>
        <w:numPr>
          <w:ilvl w:val="0"/>
          <w:numId w:val="2"/>
        </w:numPr>
        <w:spacing w:after="80"/>
      </w:pPr>
      <w:r>
        <w:t xml:space="preserve">Total funding USD 200M+ (Hinduja Group anchor, Centurion Strategic Partners, others).</w:t>
      </w:r>
    </w:p>
    <w:p>
      <w:pPr>
        <w:pStyle w:val="ListParagraph"/>
        <w:numPr>
          <w:ilvl w:val="0"/>
          <w:numId w:val="2"/>
        </w:numPr>
        <w:spacing w:after="80"/>
      </w:pPr>
      <w:r>
        <w:t xml:space="preserve">Filed for IPO 2018, withdrew 2019, has not re-attempted.</w:t>
      </w:r>
    </w:p>
    <w:p>
      <w:pPr>
        <w:pStyle w:val="Heading2"/>
      </w:pPr>
      <w:r>
        <w:rPr>
          <w:color w:val="0A2540"/>
        </w:rPr>
        <w:t xml:space="preserve">Strengths</w:t>
      </w:r>
    </w:p>
    <w:p>
      <w:pPr>
        <w:pStyle w:val="ListParagraph"/>
        <w:numPr>
          <w:ilvl w:val="0"/>
          <w:numId w:val="2"/>
        </w:numPr>
        <w:spacing w:after="80"/>
      </w:pPr>
      <w:r>
        <w:t xml:space="preserve">Best-in-class clinical evidence and FDA regulatory pedigree.</w:t>
      </w:r>
    </w:p>
    <w:p>
      <w:pPr>
        <w:pStyle w:val="ListParagraph"/>
        <w:numPr>
          <w:ilvl w:val="0"/>
          <w:numId w:val="2"/>
        </w:numPr>
        <w:spacing w:after="80"/>
      </w:pPr>
      <w:r>
        <w:t xml:space="preserve">Strong relationships with academic medical centers globally.</w:t>
      </w:r>
    </w:p>
    <w:p>
      <w:pPr>
        <w:pStyle w:val="ListParagraph"/>
        <w:numPr>
          <w:ilvl w:val="0"/>
          <w:numId w:val="2"/>
        </w:numPr>
        <w:spacing w:after="80"/>
      </w:pPr>
      <w:r>
        <w:t xml:space="preserve">Patented neurofeedback algorithm gives them defensible IP.</w:t>
      </w:r>
    </w:p>
    <w:p>
      <w:pPr>
        <w:pStyle w:val="ListParagraph"/>
        <w:numPr>
          <w:ilvl w:val="0"/>
          <w:numId w:val="2"/>
        </w:numPr>
        <w:spacing w:after="80"/>
      </w:pPr>
      <w:r>
        <w:t xml:space="preserve">Premium positioning — they are the brand neurologists name first.</w:t>
      </w:r>
    </w:p>
    <w:p>
      <w:pPr>
        <w:pStyle w:val="Heading2"/>
      </w:pPr>
      <w:r>
        <w:rPr>
          <w:color w:val="0A2540"/>
        </w:rPr>
        <w:t xml:space="preserve">Weaknesses</w:t>
      </w:r>
    </w:p>
    <w:p>
      <w:pPr>
        <w:pStyle w:val="ListParagraph"/>
        <w:numPr>
          <w:ilvl w:val="0"/>
          <w:numId w:val="2"/>
        </w:numPr>
        <w:spacing w:after="80"/>
      </w:pPr>
      <w:r>
        <w:t xml:space="preserve">Hospital-only channel completely misses the long-tail clinic market.</w:t>
      </w:r>
    </w:p>
    <w:p>
      <w:pPr>
        <w:pStyle w:val="ListParagraph"/>
        <w:numPr>
          <w:ilvl w:val="0"/>
          <w:numId w:val="2"/>
        </w:numPr>
        <w:spacing w:after="80"/>
      </w:pPr>
      <w:r>
        <w:t xml:space="preserve">Very long sales cycles. Hospitals deploy slowly; pilot-to-purchase ratios are reportedly under 30%.</w:t>
      </w:r>
    </w:p>
    <w:p>
      <w:pPr>
        <w:pStyle w:val="ListParagraph"/>
        <w:numPr>
          <w:ilvl w:val="0"/>
          <w:numId w:val="2"/>
        </w:numPr>
        <w:spacing w:after="80"/>
      </w:pPr>
      <w:r>
        <w:t xml:space="preserve">Hardware-heavy products (proprietary tracking) limit scalability and add deployment cost.</w:t>
      </w:r>
    </w:p>
    <w:p>
      <w:pPr>
        <w:pStyle w:val="ListParagraph"/>
        <w:numPr>
          <w:ilvl w:val="0"/>
          <w:numId w:val="2"/>
        </w:numPr>
        <w:spacing w:after="80"/>
      </w:pPr>
      <w:r>
        <w:t xml:space="preserve">Pricing locks them out of the mid-market and emerging market clinic channel.</w:t>
      </w:r>
    </w:p>
    <w:p>
      <w:pPr>
        <w:pStyle w:val="ListParagraph"/>
        <w:numPr>
          <w:ilvl w:val="0"/>
          <w:numId w:val="2"/>
        </w:numPr>
        <w:spacing w:after="80"/>
      </w:pPr>
      <w:r>
        <w:t xml:space="preserve">Recent reports of cash flow tightness post-2023 — they have not announced a recent round.</w:t>
      </w:r>
    </w:p>
    <w:p>
      <w:pPr>
        <w:pStyle w:val="ListParagraph"/>
        <w:numPr>
          <w:ilvl w:val="0"/>
          <w:numId w:val="2"/>
        </w:numPr>
        <w:spacing w:after="80"/>
      </w:pPr>
      <w:r>
        <w:t xml:space="preserve">Generic pediatric content; their ‘MindPod Dolphin’ is one game, not a platform.</w:t>
      </w:r>
    </w:p>
    <w:p>
      <w:pPr>
        <w:pStyle w:val="Heading2"/>
      </w:pPr>
      <w:r>
        <w:rPr>
          <w:color w:val="0A2540"/>
        </w:rPr>
        <w:t xml:space="preserve">Implications for CUVR</w:t>
      </w:r>
    </w:p>
    <w:tbl>
      <w:tblPr>
        <w:tblW w:type="dxa" w:w="9360"/>
        <w:tblBorders>
          <w:top w:val="none"/>
          <w:left w:val="single" w:color="00A685" w:sz="24"/>
          <w:bottom w:val="none"/>
          <w:right w:val="none"/>
          <w:insideH w:val="none"/>
          <w:insideV w:val="none"/>
        </w:tblBorders>
      </w:tblPr>
      <w:tblGrid>
        <w:gridCol w:w="9360"/>
      </w:tblGrid>
      <w:tr>
        <w:tc>
          <w:tcPr>
            <w:tcW w:type="dxa" w:w="9360"/>
            <w:shd w:fill="F8FAFB" w:val="clear"/>
            <w:tcMar>
              <w:top w:type="dxa" w:w="160"/>
              <w:left w:type="dxa" w:w="240"/>
              <w:bottom w:type="dxa" w:w="160"/>
              <w:right w:type="dxa" w:w="240"/>
            </w:tcMar>
          </w:tcPr>
          <w:p>
            <w:r>
              <w:rPr>
                <w:i/>
                <w:iCs/>
                <w:color w:val="0A2540"/>
              </w:rPr>
              <w:t xml:space="preserve">MindMaze is the Cadillac. We are not trying to outsell them in academic hospitals. They cannot economically serve the 380 specialty rehab clinics in the UAE that comprise our primary market. Position CUVR as 'MindMaze-quality clinical content at a clinic-friendly price point' — and stay out of their hospital fights for the first 24 months.</w:t>
            </w:r>
          </w:p>
        </w:tc>
      </w:tr>
    </w:tbl>
    <w:p>
      <w:pPr>
        <w:pStyle w:val="Heading1"/>
        <w:pageBreakBefore/>
      </w:pPr>
      <w:r>
        <w:rPr>
          <w:color w:val="0A2540"/>
        </w:rPr>
        <w:t xml:space="preserve">Penumbra REAL System</w:t>
      </w:r>
    </w:p>
    <w:tbl>
      <w:tblPr>
        <w:tblW w:type="dxa" w:w="9360"/>
        <w:tblBorders>
          <w:top w:val="single" w:color="0A2540" w:sz="6"/>
          <w:left w:val="none"/>
          <w:bottom w:val="single" w:color="0A2540" w:sz="6"/>
          <w:right w:val="none"/>
          <w:insideH w:val="single" w:color="E2E8F0" w:sz="2"/>
          <w:insideV w:val="none"/>
        </w:tblBorders>
      </w:tblPr>
      <w:tblGrid>
        <w:gridCol w:w="9360"/>
      </w:tblGrid>
      <w:tr>
        <w:tc>
          <w:tcPr>
            <w:tcW w:type="dxa" w:w="9360"/>
            <w:shd w:fill="0A2540" w:val="clear"/>
            <w:tcMar>
              <w:top w:type="dxa" w:w="140"/>
              <w:left w:type="dxa" w:w="240"/>
              <w:bottom w:type="dxa" w:w="140"/>
              <w:right w:type="dxa" w:w="240"/>
            </w:tcMar>
          </w:tcPr>
          <w:p>
            <w:r>
              <w:rPr>
                <w:b/>
                <w:bCs/>
                <w:color w:val="FFFFFF"/>
                <w:sz w:val="28"/>
                <w:szCs w:val="28"/>
              </w:rPr>
              <w:t xml:space="preserve">Penumbra REAL System</w:t>
            </w:r>
          </w:p>
          <w:p>
            <w:r>
              <w:rPr>
                <w:i/>
                <w:iCs/>
                <w:color w:val="B6E5D8"/>
                <w:sz w:val="22"/>
                <w:szCs w:val="22"/>
              </w:rPr>
              <w:t xml:space="preserve">Hospital-grade VR rehab from a USD 7B medical device giant</w:t>
            </w:r>
          </w:p>
        </w:tc>
      </w:tr>
      <w:tr>
        <w:tc>
          <w:tcPr>
            <w:tcW w:type="dxa" w:w="9360"/>
            <w:shd w:fill="F8FAFB" w:val="clear"/>
            <w:tcMar>
              <w:top w:type="dxa" w:w="100"/>
              <w:left w:type="dxa" w:w="240"/>
              <w:bottom w:type="dxa" w:w="100"/>
              <w:right w:type="dxa" w:w="240"/>
            </w:tcMar>
          </w:tcPr>
          <w:p>
            <w:r>
              <w:rPr>
                <w:b/>
                <w:bCs/>
                <w:color w:val="0A2540"/>
              </w:rPr>
              <w:t xml:space="preserve">HQ: </w:t>
            </w:r>
            <w:r>
              <w:t xml:space="preserve">Alameda, California    </w:t>
            </w:r>
            <w:r>
              <w:rPr>
                <w:b/>
                <w:bCs/>
                <w:color w:val="0A2540"/>
              </w:rPr>
              <w:t xml:space="preserve">Founded: </w:t>
            </w:r>
            <w:r>
              <w:t xml:space="preserve">REAL launched 2020 (Penumbra founded 2004)    </w:t>
            </w:r>
            <w:r>
              <w:rPr>
                <w:b/>
                <w:bCs/>
                <w:color w:val="0A2540"/>
              </w:rPr>
              <w:t xml:space="preserve">Capital raised: </w:t>
            </w:r>
            <w:r>
              <w:t xml:space="preserve">Public (NYSE: PEN), USD 7B+ market cap    </w:t>
            </w:r>
            <w:r>
              <w:rPr>
                <w:b/>
                <w:bCs/>
                <w:color w:val="0A2540"/>
              </w:rPr>
              <w:t xml:space="preserve">CEO: </w:t>
            </w:r>
            <w:r>
              <w:t xml:space="preserve">Adam Elsesser</w:t>
            </w:r>
          </w:p>
        </w:tc>
      </w:tr>
    </w:tbl>
    <w:p>
      <w:pPr>
        <w:pStyle w:val="Heading2"/>
      </w:pPr>
      <w:r>
        <w:rPr>
          <w:color w:val="0A2540"/>
        </w:rPr>
        <w:t xml:space="preserve">What They Do</w:t>
      </w:r>
    </w:p>
    <w:p>
      <w:pPr>
        <w:spacing w:after="140"/>
      </w:pPr>
      <w:r>
        <w:t xml:space="preserve">Penumbra is a major medical device manufacturer (stroke and vascular intervention) that launched REAL System as a VR rehabilitation product in 2020. REAL combines a Quest-based headset with custom hand-tracking sensors and a content library focused on upper-limb post-stroke recovery and lower-limb post-orthopedic surgery rehab.</w:t>
      </w:r>
    </w:p>
    <w:p>
      <w:pPr>
        <w:pStyle w:val="Heading2"/>
      </w:pPr>
      <w:r>
        <w:rPr>
          <w:color w:val="0A2540"/>
        </w:rPr>
        <w:t xml:space="preserve">Pricing and GTM</w:t>
      </w:r>
    </w:p>
    <w:p>
      <w:pPr>
        <w:spacing w:after="140"/>
      </w:pPr>
      <w:r>
        <w:t xml:space="preserve">REAL is sold exclusively into hospital systems and large rehab providers. Pricing is hardware-bundled: estimated USD 8,000–12,000 per workstation plus annual content subscription of USD 6,000–9,000. Penumbra leverages its existing stroke-care hospital relationships (where they sell vascular intervention devices) to cross-sell REAL into rehab departments at the same hospital.</w:t>
      </w:r>
    </w:p>
    <w:p>
      <w:pPr>
        <w:pStyle w:val="Heading2"/>
      </w:pPr>
      <w:r>
        <w:rPr>
          <w:color w:val="0A2540"/>
        </w:rPr>
        <w:t xml:space="preserve">Traction Signals</w:t>
      </w:r>
    </w:p>
    <w:p>
      <w:pPr>
        <w:pStyle w:val="ListParagraph"/>
        <w:numPr>
          <w:ilvl w:val="0"/>
          <w:numId w:val="2"/>
        </w:numPr>
        <w:spacing w:after="80"/>
      </w:pPr>
      <w:r>
        <w:t xml:space="preserve">Deployed in 400+ US hospitals as of 2024.</w:t>
      </w:r>
    </w:p>
    <w:p>
      <w:pPr>
        <w:pStyle w:val="ListParagraph"/>
        <w:numPr>
          <w:ilvl w:val="0"/>
          <w:numId w:val="2"/>
        </w:numPr>
        <w:spacing w:after="80"/>
      </w:pPr>
      <w:r>
        <w:t xml:space="preserve">FDA registered as Class II medical device.</w:t>
      </w:r>
    </w:p>
    <w:p>
      <w:pPr>
        <w:pStyle w:val="ListParagraph"/>
        <w:numPr>
          <w:ilvl w:val="0"/>
          <w:numId w:val="2"/>
        </w:numPr>
        <w:spacing w:after="80"/>
      </w:pPr>
      <w:r>
        <w:t xml:space="preserve">Penumbra parent company has USD 1.1B+ annual revenue, of which REAL contributes a small but growing share (estimated USD 35–50M).</w:t>
      </w:r>
    </w:p>
    <w:p>
      <w:pPr>
        <w:pStyle w:val="ListParagraph"/>
        <w:numPr>
          <w:ilvl w:val="0"/>
          <w:numId w:val="2"/>
        </w:numPr>
        <w:spacing w:after="80"/>
      </w:pPr>
      <w:r>
        <w:t xml:space="preserve">Strong investor confidence in REAL’s growth trajectory; analyst coverage projects 30%+ CAGR through 2027.</w:t>
      </w:r>
    </w:p>
    <w:p>
      <w:pPr>
        <w:pStyle w:val="Heading2"/>
      </w:pPr>
      <w:r>
        <w:rPr>
          <w:color w:val="0A2540"/>
        </w:rPr>
        <w:t xml:space="preserve">Strengths</w:t>
      </w:r>
    </w:p>
    <w:p>
      <w:pPr>
        <w:pStyle w:val="ListParagraph"/>
        <w:numPr>
          <w:ilvl w:val="0"/>
          <w:numId w:val="2"/>
        </w:numPr>
        <w:spacing w:after="80"/>
      </w:pPr>
      <w:r>
        <w:t xml:space="preserve">Distribution moat — leverages Penumbra’s existing 1,000+ hospital relationships.</w:t>
      </w:r>
    </w:p>
    <w:p>
      <w:pPr>
        <w:pStyle w:val="ListParagraph"/>
        <w:numPr>
          <w:ilvl w:val="0"/>
          <w:numId w:val="2"/>
        </w:numPr>
        <w:spacing w:after="80"/>
      </w:pPr>
      <w:r>
        <w:t xml:space="preserve">Capital depth. Backed by a profitable USD 7B medical device parent.</w:t>
      </w:r>
    </w:p>
    <w:p>
      <w:pPr>
        <w:pStyle w:val="ListParagraph"/>
        <w:numPr>
          <w:ilvl w:val="0"/>
          <w:numId w:val="2"/>
        </w:numPr>
        <w:spacing w:after="80"/>
      </w:pPr>
      <w:r>
        <w:t xml:space="preserve">Hardware quality and reliability for clinical use.</w:t>
      </w:r>
    </w:p>
    <w:p>
      <w:pPr>
        <w:pStyle w:val="ListParagraph"/>
        <w:numPr>
          <w:ilvl w:val="0"/>
          <w:numId w:val="2"/>
        </w:numPr>
        <w:spacing w:after="80"/>
      </w:pPr>
      <w:r>
        <w:t xml:space="preserve">Strong post-stroke clinical positioning (their natural adjacency).</w:t>
      </w:r>
    </w:p>
    <w:p>
      <w:pPr>
        <w:pStyle w:val="Heading2"/>
      </w:pPr>
      <w:r>
        <w:rPr>
          <w:color w:val="0A2540"/>
        </w:rPr>
        <w:t xml:space="preserve">Weaknesses</w:t>
      </w:r>
    </w:p>
    <w:p>
      <w:pPr>
        <w:pStyle w:val="ListParagraph"/>
        <w:numPr>
          <w:ilvl w:val="0"/>
          <w:numId w:val="2"/>
        </w:numPr>
        <w:spacing w:after="80"/>
      </w:pPr>
      <w:r>
        <w:t xml:space="preserve">Hospital-only channel, US-focused. No GCC, EMEA, or APAC strategy publicly disclosed.</w:t>
      </w:r>
    </w:p>
    <w:p>
      <w:pPr>
        <w:pStyle w:val="ListParagraph"/>
        <w:numPr>
          <w:ilvl w:val="0"/>
          <w:numId w:val="2"/>
        </w:numPr>
        <w:spacing w:after="80"/>
      </w:pPr>
      <w:r>
        <w:t xml:space="preserve">Hardware-bundled model creates unit economic floor that mid-market clinics can’t absorb.</w:t>
      </w:r>
    </w:p>
    <w:p>
      <w:pPr>
        <w:pStyle w:val="ListParagraph"/>
        <w:numPr>
          <w:ilvl w:val="0"/>
          <w:numId w:val="2"/>
        </w:numPr>
        <w:spacing w:after="80"/>
      </w:pPr>
      <w:r>
        <w:t xml:space="preserve">Content library is narrow (post-stroke + post-op orthopedic). Limited expansion into balance, chronic pain, pediatrics.</w:t>
      </w:r>
    </w:p>
    <w:p>
      <w:pPr>
        <w:pStyle w:val="ListParagraph"/>
        <w:numPr>
          <w:ilvl w:val="0"/>
          <w:numId w:val="2"/>
        </w:numPr>
        <w:spacing w:after="80"/>
      </w:pPr>
      <w:r>
        <w:t xml:space="preserve">Penumbra leadership is intervention-device-first; REAL is a strategic adjacency, not a strategic priority. Resource allocation reflects this.</w:t>
      </w:r>
    </w:p>
    <w:p>
      <w:pPr>
        <w:pStyle w:val="ListParagraph"/>
        <w:numPr>
          <w:ilvl w:val="0"/>
          <w:numId w:val="2"/>
        </w:numPr>
        <w:spacing w:after="80"/>
      </w:pPr>
      <w:r>
        <w:t xml:space="preserve">Public company structure means they cannot price aggressively — analyst pressure favors margin.</w:t>
      </w:r>
    </w:p>
    <w:p>
      <w:pPr>
        <w:pStyle w:val="Heading2"/>
      </w:pPr>
      <w:r>
        <w:rPr>
          <w:color w:val="0A2540"/>
        </w:rPr>
        <w:t xml:space="preserve">Implications for CUVR</w:t>
      </w:r>
    </w:p>
    <w:tbl>
      <w:tblPr>
        <w:tblW w:type="dxa" w:w="9360"/>
        <w:tblBorders>
          <w:top w:val="none"/>
          <w:left w:val="single" w:color="00A685" w:sz="24"/>
          <w:bottom w:val="none"/>
          <w:right w:val="none"/>
          <w:insideH w:val="none"/>
          <w:insideV w:val="none"/>
        </w:tblBorders>
      </w:tblPr>
      <w:tblGrid>
        <w:gridCol w:w="9360"/>
      </w:tblGrid>
      <w:tr>
        <w:tc>
          <w:tcPr>
            <w:tcW w:type="dxa" w:w="9360"/>
            <w:shd w:fill="F8FAFB" w:val="clear"/>
            <w:tcMar>
              <w:top w:type="dxa" w:w="160"/>
              <w:left w:type="dxa" w:w="240"/>
              <w:bottom w:type="dxa" w:w="160"/>
              <w:right w:type="dxa" w:w="240"/>
            </w:tcMar>
          </w:tcPr>
          <w:p>
            <w:r>
              <w:rPr>
                <w:i/>
                <w:iCs/>
                <w:color w:val="0A2540"/>
              </w:rPr>
              <w:t xml:space="preserve">Penumbra has zero strategic interest in MENA. Their growth runway in the US hospital channel is enormous and high-margin. They will not enter our market in any meaningful timeframe. The only risk is partnership: a Penumbra distribution deal could be a Series B opportunity for CUVR.</w:t>
            </w:r>
          </w:p>
        </w:tc>
      </w:tr>
    </w:tbl>
    <w:p>
      <w:pPr>
        <w:pStyle w:val="Heading1"/>
        <w:pageBreakBefore/>
      </w:pPr>
      <w:r>
        <w:rPr>
          <w:color w:val="0A2540"/>
        </w:rPr>
        <w:t xml:space="preserve">Neuro Rehab VR</w:t>
      </w:r>
    </w:p>
    <w:tbl>
      <w:tblPr>
        <w:tblW w:type="dxa" w:w="9360"/>
        <w:tblBorders>
          <w:top w:val="single" w:color="0A2540" w:sz="6"/>
          <w:left w:val="none"/>
          <w:bottom w:val="single" w:color="0A2540" w:sz="6"/>
          <w:right w:val="none"/>
          <w:insideH w:val="single" w:color="E2E8F0" w:sz="2"/>
          <w:insideV w:val="none"/>
        </w:tblBorders>
      </w:tblPr>
      <w:tblGrid>
        <w:gridCol w:w="9360"/>
      </w:tblGrid>
      <w:tr>
        <w:tc>
          <w:tcPr>
            <w:tcW w:type="dxa" w:w="9360"/>
            <w:shd w:fill="0A2540" w:val="clear"/>
            <w:tcMar>
              <w:top w:type="dxa" w:w="140"/>
              <w:left w:type="dxa" w:w="240"/>
              <w:bottom w:type="dxa" w:w="140"/>
              <w:right w:type="dxa" w:w="240"/>
            </w:tcMar>
          </w:tcPr>
          <w:p>
            <w:r>
              <w:rPr>
                <w:b/>
                <w:bCs/>
                <w:color w:val="FFFFFF"/>
                <w:sz w:val="28"/>
                <w:szCs w:val="28"/>
              </w:rPr>
              <w:t xml:space="preserve">Neuro Rehab VR</w:t>
            </w:r>
          </w:p>
          <w:p>
            <w:r>
              <w:rPr>
                <w:i/>
                <w:iCs/>
                <w:color w:val="B6E5D8"/>
                <w:sz w:val="22"/>
                <w:szCs w:val="22"/>
              </w:rPr>
              <w:t xml:space="preserve">Clinic-focused VR rehab for stroke, MS, and balance</w:t>
            </w:r>
          </w:p>
        </w:tc>
      </w:tr>
      <w:tr>
        <w:tc>
          <w:tcPr>
            <w:tcW w:type="dxa" w:w="9360"/>
            <w:shd w:fill="F8FAFB" w:val="clear"/>
            <w:tcMar>
              <w:top w:type="dxa" w:w="100"/>
              <w:left w:type="dxa" w:w="240"/>
              <w:bottom w:type="dxa" w:w="100"/>
              <w:right w:type="dxa" w:w="240"/>
            </w:tcMar>
          </w:tcPr>
          <w:p>
            <w:r>
              <w:rPr>
                <w:b/>
                <w:bCs/>
                <w:color w:val="0A2540"/>
              </w:rPr>
              <w:t xml:space="preserve">HQ: </w:t>
            </w:r>
            <w:r>
              <w:t xml:space="preserve">Fort Worth, Texas    </w:t>
            </w:r>
            <w:r>
              <w:rPr>
                <w:b/>
                <w:bCs/>
                <w:color w:val="0A2540"/>
              </w:rPr>
              <w:t xml:space="preserve">Founded: </w:t>
            </w:r>
            <w:r>
              <w:t xml:space="preserve">2017    </w:t>
            </w:r>
            <w:r>
              <w:rPr>
                <w:b/>
                <w:bCs/>
                <w:color w:val="0A2540"/>
              </w:rPr>
              <w:t xml:space="preserve">Capital raised: </w:t>
            </w:r>
            <w:r>
              <w:t xml:space="preserve">USD 6M (Seed + Series A)    </w:t>
            </w:r>
            <w:r>
              <w:rPr>
                <w:b/>
                <w:bCs/>
                <w:color w:val="0A2540"/>
              </w:rPr>
              <w:t xml:space="preserve">CEO: </w:t>
            </w:r>
            <w:r>
              <w:t xml:space="preserve">Veena Somareddy (CEO and Co-founder)</w:t>
            </w:r>
          </w:p>
        </w:tc>
      </w:tr>
    </w:tbl>
    <w:p>
      <w:pPr>
        <w:pStyle w:val="Heading2"/>
      </w:pPr>
      <w:r>
        <w:rPr>
          <w:color w:val="0A2540"/>
        </w:rPr>
        <w:t xml:space="preserve">What They Do</w:t>
      </w:r>
    </w:p>
    <w:p>
      <w:pPr>
        <w:spacing w:after="140"/>
      </w:pPr>
      <w:r>
        <w:t xml:space="preserve">Neuro Rehab VR sells a clinic-deployable VR therapy system focused on neurological conditions — stroke, MS, Parkinson’s, vestibular disorders. Their product is a Quest-based VR app library with a clinician dashboard. They occupy a similar positioning to CUVR but with a US-only and stroke-narrow focus.</w:t>
      </w:r>
    </w:p>
    <w:p>
      <w:pPr>
        <w:pStyle w:val="Heading2"/>
      </w:pPr>
      <w:r>
        <w:rPr>
          <w:color w:val="0A2540"/>
        </w:rPr>
        <w:t xml:space="preserve">Pricing and GTM</w:t>
      </w:r>
    </w:p>
    <w:p>
      <w:pPr>
        <w:spacing w:after="140"/>
      </w:pPr>
      <w:r>
        <w:t xml:space="preserve">Neuro Rehab VR is publicly priced at USD 350/month per clinic for unlimited patient use, plus USD 1,500 setup. Hardware is BYOD (clinic provides headset). They sell direct via their website and via clinical conferences (APTA, AAPMR, AOTA). Estimated 100–250 paying US clinics.</w:t>
      </w:r>
    </w:p>
    <w:p>
      <w:pPr>
        <w:pStyle w:val="Heading2"/>
      </w:pPr>
      <w:r>
        <w:rPr>
          <w:color w:val="0A2540"/>
        </w:rPr>
        <w:t xml:space="preserve">Strengths</w:t>
      </w:r>
    </w:p>
    <w:p>
      <w:pPr>
        <w:pStyle w:val="ListParagraph"/>
        <w:numPr>
          <w:ilvl w:val="0"/>
          <w:numId w:val="2"/>
        </w:numPr>
        <w:spacing w:after="80"/>
      </w:pPr>
      <w:r>
        <w:t xml:space="preserve">Most price-aggressive of the major clinical VR competitors.</w:t>
      </w:r>
    </w:p>
    <w:p>
      <w:pPr>
        <w:pStyle w:val="ListParagraph"/>
        <w:numPr>
          <w:ilvl w:val="0"/>
          <w:numId w:val="2"/>
        </w:numPr>
        <w:spacing w:after="80"/>
      </w:pPr>
      <w:r>
        <w:t xml:space="preserve">BYOD hardware model lowers customer adoption friction.</w:t>
      </w:r>
    </w:p>
    <w:p>
      <w:pPr>
        <w:pStyle w:val="ListParagraph"/>
        <w:numPr>
          <w:ilvl w:val="0"/>
          <w:numId w:val="2"/>
        </w:numPr>
        <w:spacing w:after="80"/>
      </w:pPr>
      <w:r>
        <w:t xml:space="preserve">Strong clinical advisor network and APTA presence.</w:t>
      </w:r>
    </w:p>
    <w:p>
      <w:pPr>
        <w:pStyle w:val="ListParagraph"/>
        <w:numPr>
          <w:ilvl w:val="0"/>
          <w:numId w:val="2"/>
        </w:numPr>
        <w:spacing w:after="80"/>
      </w:pPr>
      <w:r>
        <w:t xml:space="preserve">Clinically-led founder team (Veena Somareddy is well-known in the rehab VR community).</w:t>
      </w:r>
    </w:p>
    <w:p>
      <w:pPr>
        <w:pStyle w:val="Heading2"/>
      </w:pPr>
      <w:r>
        <w:rPr>
          <w:color w:val="0A2540"/>
        </w:rPr>
        <w:t xml:space="preserve">Weaknesses</w:t>
      </w:r>
    </w:p>
    <w:p>
      <w:pPr>
        <w:pStyle w:val="ListParagraph"/>
        <w:numPr>
          <w:ilvl w:val="0"/>
          <w:numId w:val="2"/>
        </w:numPr>
        <w:spacing w:after="80"/>
      </w:pPr>
      <w:r>
        <w:t xml:space="preserve">Limited capital base means slow content expansion. Library has grown only ~30% since 2022.</w:t>
      </w:r>
    </w:p>
    <w:p>
      <w:pPr>
        <w:pStyle w:val="ListParagraph"/>
        <w:numPr>
          <w:ilvl w:val="0"/>
          <w:numId w:val="2"/>
        </w:numPr>
        <w:spacing w:after="80"/>
      </w:pPr>
      <w:r>
        <w:t xml:space="preserve">BYOD hardware leads to inconsistent clinical experience — clinics buy cheap headsets and complain about the product.</w:t>
      </w:r>
    </w:p>
    <w:p>
      <w:pPr>
        <w:pStyle w:val="ListParagraph"/>
        <w:numPr>
          <w:ilvl w:val="0"/>
          <w:numId w:val="2"/>
        </w:numPr>
        <w:spacing w:after="80"/>
      </w:pPr>
      <w:r>
        <w:t xml:space="preserve">US-only footprint.</w:t>
      </w:r>
    </w:p>
    <w:p>
      <w:pPr>
        <w:pStyle w:val="ListParagraph"/>
        <w:numPr>
          <w:ilvl w:val="0"/>
          <w:numId w:val="2"/>
        </w:numPr>
        <w:spacing w:after="80"/>
      </w:pPr>
      <w:r>
        <w:t xml:space="preserve">Outcomes dashboard is rudimentary compared to MindMaze or XRHealth.</w:t>
      </w:r>
    </w:p>
    <w:p>
      <w:pPr>
        <w:pStyle w:val="ListParagraph"/>
        <w:numPr>
          <w:ilvl w:val="0"/>
          <w:numId w:val="2"/>
        </w:numPr>
        <w:spacing w:after="80"/>
      </w:pPr>
      <w:r>
        <w:t xml:space="preserve">Clinic churn rates reported in the 25–35% range — better engagement tools would dramatically improve retention.</w:t>
      </w:r>
    </w:p>
    <w:p>
      <w:pPr>
        <w:pStyle w:val="Heading2"/>
      </w:pPr>
      <w:r>
        <w:rPr>
          <w:color w:val="0A2540"/>
        </w:rPr>
        <w:t xml:space="preserve">Implications for CUVR</w:t>
      </w:r>
    </w:p>
    <w:tbl>
      <w:tblPr>
        <w:tblW w:type="dxa" w:w="9360"/>
        <w:tblBorders>
          <w:top w:val="none"/>
          <w:left w:val="single" w:color="00A685" w:sz="24"/>
          <w:bottom w:val="none"/>
          <w:right w:val="none"/>
          <w:insideH w:val="none"/>
          <w:insideV w:val="none"/>
        </w:tblBorders>
      </w:tblPr>
      <w:tblGrid>
        <w:gridCol w:w="9360"/>
      </w:tblGrid>
      <w:tr>
        <w:tc>
          <w:tcPr>
            <w:tcW w:type="dxa" w:w="9360"/>
            <w:shd w:fill="F8FAFB" w:val="clear"/>
            <w:tcMar>
              <w:top w:type="dxa" w:w="160"/>
              <w:left w:type="dxa" w:w="240"/>
              <w:bottom w:type="dxa" w:w="160"/>
              <w:right w:type="dxa" w:w="240"/>
            </w:tcMar>
          </w:tcPr>
          <w:p>
            <w:r>
              <w:rPr>
                <w:i/>
                <w:iCs/>
                <w:color w:val="0A2540"/>
              </w:rPr>
              <w:t xml:space="preserve">Neuro Rehab VR is the closest archetype to what CUVR is becoming, but starved of capital. We can leapfrog them on outcomes dashboard, content depth, and B2B2C model — and we have a market they cannot enter for capital reasons. Their pricing is a useful anchor for ours; we should price at parity (in USD-equivalent terms) until brand premium is established.</w:t>
            </w:r>
          </w:p>
        </w:tc>
      </w:tr>
    </w:tbl>
    <w:p>
      <w:pPr>
        <w:pStyle w:val="Heading1"/>
        <w:pageBreakBefore/>
      </w:pPr>
      <w:r>
        <w:rPr>
          <w:color w:val="0A2540"/>
        </w:rPr>
        <w:t xml:space="preserve">Karuna Labs</w:t>
      </w:r>
    </w:p>
    <w:tbl>
      <w:tblPr>
        <w:tblW w:type="dxa" w:w="9360"/>
        <w:tblBorders>
          <w:top w:val="single" w:color="0A2540" w:sz="6"/>
          <w:left w:val="none"/>
          <w:bottom w:val="single" w:color="0A2540" w:sz="6"/>
          <w:right w:val="none"/>
          <w:insideH w:val="single" w:color="E2E8F0" w:sz="2"/>
          <w:insideV w:val="none"/>
        </w:tblBorders>
      </w:tblPr>
      <w:tblGrid>
        <w:gridCol w:w="9360"/>
      </w:tblGrid>
      <w:tr>
        <w:tc>
          <w:tcPr>
            <w:tcW w:type="dxa" w:w="9360"/>
            <w:shd w:fill="0A2540" w:val="clear"/>
            <w:tcMar>
              <w:top w:type="dxa" w:w="140"/>
              <w:left w:type="dxa" w:w="240"/>
              <w:bottom w:type="dxa" w:w="140"/>
              <w:right w:type="dxa" w:w="240"/>
            </w:tcMar>
          </w:tcPr>
          <w:p>
            <w:r>
              <w:rPr>
                <w:b/>
                <w:bCs/>
                <w:color w:val="FFFFFF"/>
                <w:sz w:val="28"/>
                <w:szCs w:val="28"/>
              </w:rPr>
              <w:t xml:space="preserve">Karuna Labs</w:t>
            </w:r>
          </w:p>
          <w:p>
            <w:r>
              <w:rPr>
                <w:i/>
                <w:iCs/>
                <w:color w:val="B6E5D8"/>
                <w:sz w:val="22"/>
                <w:szCs w:val="22"/>
              </w:rPr>
              <w:t xml:space="preserve">VR for chronic pain (FDA-cleared)</w:t>
            </w:r>
          </w:p>
        </w:tc>
      </w:tr>
      <w:tr>
        <w:tc>
          <w:tcPr>
            <w:tcW w:type="dxa" w:w="9360"/>
            <w:shd w:fill="F8FAFB" w:val="clear"/>
            <w:tcMar>
              <w:top w:type="dxa" w:w="100"/>
              <w:left w:type="dxa" w:w="240"/>
              <w:bottom w:type="dxa" w:w="100"/>
              <w:right w:type="dxa" w:w="240"/>
            </w:tcMar>
          </w:tcPr>
          <w:p>
            <w:r>
              <w:rPr>
                <w:b/>
                <w:bCs/>
                <w:color w:val="0A2540"/>
              </w:rPr>
              <w:t xml:space="preserve">HQ: </w:t>
            </w:r>
            <w:r>
              <w:t xml:space="preserve">San Francisco, California    </w:t>
            </w:r>
            <w:r>
              <w:rPr>
                <w:b/>
                <w:bCs/>
                <w:color w:val="0A2540"/>
              </w:rPr>
              <w:t xml:space="preserve">Founded: </w:t>
            </w:r>
            <w:r>
              <w:t xml:space="preserve">2017    </w:t>
            </w:r>
            <w:r>
              <w:rPr>
                <w:b/>
                <w:bCs/>
                <w:color w:val="0A2540"/>
              </w:rPr>
              <w:t xml:space="preserve">Capital raised: </w:t>
            </w:r>
            <w:r>
              <w:t xml:space="preserve">USD 8M+    </w:t>
            </w:r>
            <w:r>
              <w:rPr>
                <w:b/>
                <w:bCs/>
                <w:color w:val="0A2540"/>
              </w:rPr>
              <w:t xml:space="preserve">CEO: </w:t>
            </w:r>
            <w:r>
              <w:t xml:space="preserve">Jon Weinberg (CEO)</w:t>
            </w:r>
          </w:p>
        </w:tc>
      </w:tr>
    </w:tbl>
    <w:p>
      <w:pPr>
        <w:pStyle w:val="Heading2"/>
      </w:pPr>
      <w:r>
        <w:rPr>
          <w:color w:val="0A2540"/>
        </w:rPr>
        <w:t xml:space="preserve">What They Do</w:t>
      </w:r>
    </w:p>
    <w:p>
      <w:pPr>
        <w:spacing w:after="140"/>
      </w:pPr>
      <w:r>
        <w:t xml:space="preserve">Karuna Labs is the chronic-pain specialist of clinical VR. Their flagship product, Karuna Home, is FDA-cleared (2023) for chronic lower back pain treatment. Karuna combines VR-based graded exposure therapy, biofeedback, and cognitive-behavioral therapy techniques. They sell through clinics and increasingly through employer wellness benefits programs.</w:t>
      </w:r>
    </w:p>
    <w:p>
      <w:pPr>
        <w:pStyle w:val="Heading2"/>
      </w:pPr>
      <w:r>
        <w:rPr>
          <w:color w:val="0A2540"/>
        </w:rPr>
        <w:t xml:space="preserve">Pricing and GTM</w:t>
      </w:r>
    </w:p>
    <w:p>
      <w:pPr>
        <w:spacing w:after="140"/>
      </w:pPr>
      <w:r>
        <w:t xml:space="preserve">Karuna pricing is hybrid: enterprise contracts with self-insured employers (estimated USD 50–80 PMPM), plus direct-to-consumer subscriptions (USD 60/month). They have significant employer health benefit penetration in the US (Tesla, Walmart, others reportedly piloting).</w:t>
      </w:r>
    </w:p>
    <w:p>
      <w:pPr>
        <w:pStyle w:val="Heading2"/>
      </w:pPr>
      <w:r>
        <w:rPr>
          <w:color w:val="0A2540"/>
        </w:rPr>
        <w:t xml:space="preserve">Strengths</w:t>
      </w:r>
    </w:p>
    <w:p>
      <w:pPr>
        <w:pStyle w:val="ListParagraph"/>
        <w:numPr>
          <w:ilvl w:val="0"/>
          <w:numId w:val="2"/>
        </w:numPr>
        <w:spacing w:after="80"/>
      </w:pPr>
      <w:r>
        <w:t xml:space="preserve">FDA clearance for chronic pain is rare and high-credibility.</w:t>
      </w:r>
    </w:p>
    <w:p>
      <w:pPr>
        <w:pStyle w:val="ListParagraph"/>
        <w:numPr>
          <w:ilvl w:val="0"/>
          <w:numId w:val="2"/>
        </w:numPr>
        <w:spacing w:after="80"/>
      </w:pPr>
      <w:r>
        <w:t xml:space="preserve">Strong clinical evidence base in their niche (28% pain reduction in their pivotal study).</w:t>
      </w:r>
    </w:p>
    <w:p>
      <w:pPr>
        <w:pStyle w:val="ListParagraph"/>
        <w:numPr>
          <w:ilvl w:val="0"/>
          <w:numId w:val="2"/>
        </w:numPr>
        <w:spacing w:after="80"/>
      </w:pPr>
      <w:r>
        <w:t xml:space="preserve">Employer channel is a smart strategic moat — direct-pay employer health benefits bypass insurer fragmentation.</w:t>
      </w:r>
    </w:p>
    <w:p>
      <w:pPr>
        <w:pStyle w:val="Heading2"/>
      </w:pPr>
      <w:r>
        <w:rPr>
          <w:color w:val="0A2540"/>
        </w:rPr>
        <w:t xml:space="preserve">Weaknesses</w:t>
      </w:r>
    </w:p>
    <w:p>
      <w:pPr>
        <w:pStyle w:val="ListParagraph"/>
        <w:numPr>
          <w:ilvl w:val="0"/>
          <w:numId w:val="2"/>
        </w:numPr>
        <w:spacing w:after="80"/>
      </w:pPr>
      <w:r>
        <w:t xml:space="preserve">Single-indication focus (chronic pain) limits TAM.</w:t>
      </w:r>
    </w:p>
    <w:p>
      <w:pPr>
        <w:pStyle w:val="ListParagraph"/>
        <w:numPr>
          <w:ilvl w:val="0"/>
          <w:numId w:val="2"/>
        </w:numPr>
        <w:spacing w:after="80"/>
      </w:pPr>
      <w:r>
        <w:t xml:space="preserve">Employer channel takes 18–24 months per signed deal — slow scale.</w:t>
      </w:r>
    </w:p>
    <w:p>
      <w:pPr>
        <w:pStyle w:val="ListParagraph"/>
        <w:numPr>
          <w:ilvl w:val="0"/>
          <w:numId w:val="2"/>
        </w:numPr>
        <w:spacing w:after="80"/>
      </w:pPr>
      <w:r>
        <w:t xml:space="preserve">No physical therapy or motor rehab content, which is the broader market.</w:t>
      </w:r>
    </w:p>
    <w:p>
      <w:pPr>
        <w:pStyle w:val="ListParagraph"/>
        <w:numPr>
          <w:ilvl w:val="0"/>
          <w:numId w:val="2"/>
        </w:numPr>
        <w:spacing w:after="80"/>
      </w:pPr>
      <w:r>
        <w:t xml:space="preserve">US-only.</w:t>
      </w:r>
    </w:p>
    <w:p>
      <w:pPr>
        <w:pStyle w:val="Heading2"/>
      </w:pPr>
      <w:r>
        <w:rPr>
          <w:color w:val="0A2540"/>
        </w:rPr>
        <w:t xml:space="preserve">Implications for CUVR</w:t>
      </w:r>
    </w:p>
    <w:tbl>
      <w:tblPr>
        <w:tblW w:type="dxa" w:w="9360"/>
        <w:tblBorders>
          <w:top w:val="none"/>
          <w:left w:val="single" w:color="00A685" w:sz="24"/>
          <w:bottom w:val="none"/>
          <w:right w:val="none"/>
          <w:insideH w:val="none"/>
          <w:insideV w:val="none"/>
        </w:tblBorders>
      </w:tblPr>
      <w:tblGrid>
        <w:gridCol w:w="9360"/>
      </w:tblGrid>
      <w:tr>
        <w:tc>
          <w:tcPr>
            <w:tcW w:type="dxa" w:w="9360"/>
            <w:shd w:fill="F8FAFB" w:val="clear"/>
            <w:tcMar>
              <w:top w:type="dxa" w:w="160"/>
              <w:left w:type="dxa" w:w="240"/>
              <w:bottom w:type="dxa" w:w="160"/>
              <w:right w:type="dxa" w:w="240"/>
            </w:tcMar>
          </w:tcPr>
          <w:p>
            <w:r>
              <w:rPr>
                <w:i/>
                <w:iCs/>
                <w:color w:val="0A2540"/>
              </w:rPr>
              <w:t xml:space="preserve">Karuna is a partner candidate, not a competitor. Their chronic pain content + CUVR’s GCC distribution could be a strategic licensing deal in Year 2–3. We should add chronic pain to CUVR’s indication library but not lead with it — Karuna will outcompete on clinical depth in pain specifically.</w:t>
            </w:r>
          </w:p>
        </w:tc>
      </w:tr>
    </w:tbl>
    <w:p>
      <w:pPr>
        <w:pStyle w:val="Heading1"/>
        <w:pageBreakBefore/>
      </w:pPr>
      <w:r>
        <w:rPr>
          <w:color w:val="0A2540"/>
        </w:rPr>
        <w:t xml:space="preserve">Cuvr.io</w:t>
      </w:r>
    </w:p>
    <w:tbl>
      <w:tblPr>
        <w:tblW w:type="dxa" w:w="9360"/>
        <w:tblBorders>
          <w:top w:val="single" w:color="0A2540" w:sz="6"/>
          <w:left w:val="none"/>
          <w:bottom w:val="single" w:color="0A2540" w:sz="6"/>
          <w:right w:val="none"/>
          <w:insideH w:val="single" w:color="E2E8F0" w:sz="2"/>
          <w:insideV w:val="none"/>
        </w:tblBorders>
      </w:tblPr>
      <w:tblGrid>
        <w:gridCol w:w="9360"/>
      </w:tblGrid>
      <w:tr>
        <w:tc>
          <w:tcPr>
            <w:tcW w:type="dxa" w:w="9360"/>
            <w:shd w:fill="0A2540" w:val="clear"/>
            <w:tcMar>
              <w:top w:type="dxa" w:w="140"/>
              <w:left w:type="dxa" w:w="240"/>
              <w:bottom w:type="dxa" w:w="140"/>
              <w:right w:type="dxa" w:w="240"/>
            </w:tcMar>
          </w:tcPr>
          <w:p>
            <w:r>
              <w:rPr>
                <w:b/>
                <w:bCs/>
                <w:color w:val="FFFFFF"/>
                <w:sz w:val="28"/>
                <w:szCs w:val="28"/>
              </w:rPr>
              <w:t xml:space="preserve">Cuvr.io (the brand collision)</w:t>
            </w:r>
          </w:p>
          <w:p>
            <w:r>
              <w:rPr>
                <w:i/>
                <w:iCs/>
                <w:color w:val="B6E5D8"/>
                <w:sz w:val="22"/>
                <w:szCs w:val="22"/>
              </w:rPr>
              <w:t xml:space="preserve">Small US-based VR rehab brand sharing our name</w:t>
            </w:r>
          </w:p>
        </w:tc>
      </w:tr>
      <w:tr>
        <w:tc>
          <w:tcPr>
            <w:tcW w:type="dxa" w:w="9360"/>
            <w:shd w:fill="F8FAFB" w:val="clear"/>
            <w:tcMar>
              <w:top w:type="dxa" w:w="100"/>
              <w:left w:type="dxa" w:w="240"/>
              <w:bottom w:type="dxa" w:w="100"/>
              <w:right w:type="dxa" w:w="240"/>
            </w:tcMar>
          </w:tcPr>
          <w:p>
            <w:r>
              <w:rPr>
                <w:b/>
                <w:bCs/>
                <w:color w:val="0A2540"/>
              </w:rPr>
              <w:t xml:space="preserve">HQ: </w:t>
            </w:r>
            <w:r>
              <w:t xml:space="preserve">Midwest US (estimated)    </w:t>
            </w:r>
            <w:r>
              <w:rPr>
                <w:b/>
                <w:bCs/>
                <w:color w:val="0A2540"/>
              </w:rPr>
              <w:t xml:space="preserve">Founded: </w:t>
            </w:r>
            <w:r>
              <w:t xml:space="preserve">Estimated 2020–2021    </w:t>
            </w:r>
            <w:r>
              <w:rPr>
                <w:b/>
                <w:bCs/>
                <w:color w:val="0A2540"/>
              </w:rPr>
              <w:t xml:space="preserve">Capital raised: </w:t>
            </w:r>
            <w:r>
              <w:t xml:space="preserve">&lt;USD 1M (estimated, no public data)    </w:t>
            </w:r>
            <w:r>
              <w:rPr>
                <w:b/>
                <w:bCs/>
                <w:color w:val="0A2540"/>
              </w:rPr>
              <w:t xml:space="preserve">CEO: </w:t>
            </w:r>
            <w:r>
              <w:t xml:space="preserve">Unknown</w:t>
            </w:r>
          </w:p>
        </w:tc>
      </w:tr>
    </w:tbl>
    <w:p>
      <w:pPr>
        <w:pStyle w:val="Heading2"/>
      </w:pPr>
      <w:r>
        <w:rPr>
          <w:color w:val="0A2540"/>
        </w:rPr>
        <w:t xml:space="preserve">What They Do</w:t>
      </w:r>
    </w:p>
    <w:p>
      <w:pPr>
        <w:spacing w:after="140"/>
      </w:pPr>
      <w:r>
        <w:t xml:space="preserve">Cuvr.io is a small operator with limited public profile. Their website indicates a Quest-based VR rehab application targeted at outpatient physical therapy clinics. They appear to have a handful of US clients, no published clinical evidence, no FDA registration, and no funding announcements.</w:t>
      </w:r>
    </w:p>
    <w:p>
      <w:pPr>
        <w:pStyle w:val="Heading2"/>
      </w:pPr>
      <w:r>
        <w:rPr>
          <w:color w:val="0A2540"/>
        </w:rPr>
        <w:t xml:space="preserve">Strategic Analysis</w:t>
      </w:r>
    </w:p>
    <w:p>
      <w:pPr>
        <w:spacing w:after="140"/>
      </w:pPr>
      <w:r>
        <w:t xml:space="preserve">Cuvr.io is not a meaningful competitor — they have neither the capital nor the regulatory or clinical depth to expand internationally. The strategic concern is the brand and trademark collision. “Cuvr” as a brand identifier in the VR rehabilitation category may be subject to existing US trademark filings.</w:t>
      </w:r>
    </w:p>
    <w:p>
      <w:pPr>
        <w:pStyle w:val="Heading2"/>
      </w:pPr>
      <w:r>
        <w:rPr>
          <w:color w:val="0A2540"/>
        </w:rPr>
        <w:t xml:space="preserve">Implications for CUVR</w:t>
      </w:r>
    </w:p>
    <w:tbl>
      <w:tblPr>
        <w:tblW w:type="dxa" w:w="9360"/>
        <w:tblBorders>
          <w:top w:val="none"/>
          <w:left w:val="single" w:color="E55050" w:sz="24"/>
          <w:bottom w:val="none"/>
          <w:right w:val="none"/>
          <w:insideH w:val="none"/>
          <w:insideV w:val="none"/>
        </w:tblBorders>
      </w:tblPr>
      <w:tblGrid>
        <w:gridCol w:w="9360"/>
      </w:tblGrid>
      <w:tr>
        <w:tc>
          <w:tcPr>
            <w:tcW w:type="dxa" w:w="9360"/>
            <w:shd w:fill="F8FAFB" w:val="clear"/>
            <w:tcMar>
              <w:top w:type="dxa" w:w="160"/>
              <w:left w:type="dxa" w:w="240"/>
              <w:bottom w:type="dxa" w:w="160"/>
              <w:right w:type="dxa" w:w="240"/>
            </w:tcMar>
          </w:tcPr>
          <w:p>
            <w:r>
              <w:rPr>
                <w:i/>
                <w:iCs/>
                <w:color w:val="0A2540"/>
              </w:rPr>
              <w:t xml:space="preserve">Two action items, both Phase 1 priority: (1) Engage UAE trademark counsel within Week 1 to file CUVR mark in the UAE before launch; (2) Run a US trademark search to determine whether Cuvr.io has filed federally and whether that affects future US expansion. If a federal mark exists, CUVR may need a pivot brand for US market entry post-Series A. Cost of due diligence: AED 5–10K. Worth doing immediately.</w:t>
            </w:r>
          </w:p>
        </w:tc>
      </w:tr>
    </w:tbl>
    <w:p>
      <w:pPr>
        <w:pStyle w:val="Heading1"/>
        <w:pageBreakBefore/>
      </w:pPr>
      <w:r>
        <w:rPr>
          <w:color w:val="0A2540"/>
        </w:rPr>
        <w:t xml:space="preserve">Oncomfort</w:t>
      </w:r>
    </w:p>
    <w:tbl>
      <w:tblPr>
        <w:tblW w:type="dxa" w:w="9360"/>
        <w:tblBorders>
          <w:top w:val="single" w:color="0A2540" w:sz="6"/>
          <w:left w:val="none"/>
          <w:bottom w:val="single" w:color="0A2540" w:sz="6"/>
          <w:right w:val="none"/>
          <w:insideH w:val="single" w:color="E2E8F0" w:sz="2"/>
          <w:insideV w:val="none"/>
        </w:tblBorders>
      </w:tblPr>
      <w:tblGrid>
        <w:gridCol w:w="9360"/>
      </w:tblGrid>
      <w:tr>
        <w:tc>
          <w:tcPr>
            <w:tcW w:type="dxa" w:w="9360"/>
            <w:shd w:fill="0A2540" w:val="clear"/>
            <w:tcMar>
              <w:top w:type="dxa" w:w="140"/>
              <w:left w:type="dxa" w:w="240"/>
              <w:bottom w:type="dxa" w:w="140"/>
              <w:right w:type="dxa" w:w="240"/>
            </w:tcMar>
          </w:tcPr>
          <w:p>
            <w:r>
              <w:rPr>
                <w:b/>
                <w:bCs/>
                <w:color w:val="FFFFFF"/>
                <w:sz w:val="28"/>
                <w:szCs w:val="28"/>
              </w:rPr>
              <w:t xml:space="preserve">Oncomfort</w:t>
            </w:r>
          </w:p>
          <w:p>
            <w:r>
              <w:rPr>
                <w:i/>
                <w:iCs/>
                <w:color w:val="B6E5D8"/>
                <w:sz w:val="22"/>
                <w:szCs w:val="22"/>
              </w:rPr>
              <w:t xml:space="preserve">VR for procedural pain and anxiety, expanding to MENA</w:t>
            </w:r>
          </w:p>
        </w:tc>
      </w:tr>
      <w:tr>
        <w:tc>
          <w:tcPr>
            <w:tcW w:type="dxa" w:w="9360"/>
            <w:shd w:fill="F8FAFB" w:val="clear"/>
            <w:tcMar>
              <w:top w:type="dxa" w:w="100"/>
              <w:left w:type="dxa" w:w="240"/>
              <w:bottom w:type="dxa" w:w="100"/>
              <w:right w:type="dxa" w:w="240"/>
            </w:tcMar>
          </w:tcPr>
          <w:p>
            <w:r>
              <w:rPr>
                <w:b/>
                <w:bCs/>
                <w:color w:val="0A2540"/>
              </w:rPr>
              <w:t xml:space="preserve">HQ: </w:t>
            </w:r>
            <w:r>
              <w:t xml:space="preserve">Wavre, Belgium    </w:t>
            </w:r>
            <w:r>
              <w:rPr>
                <w:b/>
                <w:bCs/>
                <w:color w:val="0A2540"/>
              </w:rPr>
              <w:t xml:space="preserve">Founded: </w:t>
            </w:r>
            <w:r>
              <w:t xml:space="preserve">2018    </w:t>
            </w:r>
            <w:r>
              <w:rPr>
                <w:b/>
                <w:bCs/>
                <w:color w:val="0A2540"/>
              </w:rPr>
              <w:t xml:space="preserve">Capital raised: </w:t>
            </w:r>
            <w:r>
              <w:t xml:space="preserve">EUR 20M+    </w:t>
            </w:r>
            <w:r>
              <w:rPr>
                <w:b/>
                <w:bCs/>
                <w:color w:val="0A2540"/>
              </w:rPr>
              <w:t xml:space="preserve">CEO: </w:t>
            </w:r>
            <w:r>
              <w:t xml:space="preserve">Pierre Magnenat (CEO)</w:t>
            </w:r>
          </w:p>
        </w:tc>
      </w:tr>
    </w:tbl>
    <w:p>
      <w:pPr>
        <w:pStyle w:val="Heading2"/>
      </w:pPr>
      <w:r>
        <w:rPr>
          <w:color w:val="0A2540"/>
        </w:rPr>
        <w:t xml:space="preserve">What They Do</w:t>
      </w:r>
    </w:p>
    <w:p>
      <w:pPr>
        <w:spacing w:after="140"/>
      </w:pPr>
      <w:r>
        <w:t xml:space="preserve">Oncomfort is a Belgian VR therapeutics company that delivers procedure-related anxiety and pain reduction through VR-based hypnosis. Used during chemotherapy, dental procedures, and minor surgeries. They have CE Mark and recently announced a Saudi market expansion deal.</w:t>
      </w:r>
    </w:p>
    <w:p>
      <w:pPr>
        <w:pStyle w:val="Heading2"/>
      </w:pPr>
      <w:r>
        <w:rPr>
          <w:color w:val="0A2540"/>
        </w:rPr>
        <w:t xml:space="preserve">Strategic Relevance</w:t>
      </w:r>
    </w:p>
    <w:p>
      <w:pPr>
        <w:spacing w:after="140"/>
      </w:pPr>
      <w:r>
        <w:t xml:space="preserve">Oncomfort is the only credible clinical VR company that has publicly announced GCC expansion. Their Saudi pilot (announced 2024) is procedure-focused, not rehab — meaning they are not a direct competitor to CUVR. However, they prove that GCC clinical VR distribution is achievable and they may be a partnership or co-distribution candidate.</w:t>
      </w:r>
    </w:p>
    <w:p>
      <w:pPr>
        <w:pStyle w:val="Heading2"/>
      </w:pPr>
      <w:r>
        <w:rPr>
          <w:color w:val="0A2540"/>
        </w:rPr>
        <w:t xml:space="preserve">Implications for CUVR</w:t>
      </w:r>
    </w:p>
    <w:tbl>
      <w:tblPr>
        <w:tblW w:type="dxa" w:w="9360"/>
        <w:tblBorders>
          <w:top w:val="none"/>
          <w:left w:val="single" w:color="00A685" w:sz="24"/>
          <w:bottom w:val="none"/>
          <w:right w:val="none"/>
          <w:insideH w:val="none"/>
          <w:insideV w:val="none"/>
        </w:tblBorders>
      </w:tblPr>
      <w:tblGrid>
        <w:gridCol w:w="9360"/>
      </w:tblGrid>
      <w:tr>
        <w:tc>
          <w:tcPr>
            <w:tcW w:type="dxa" w:w="9360"/>
            <w:shd w:fill="F8FAFB" w:val="clear"/>
            <w:tcMar>
              <w:top w:type="dxa" w:w="160"/>
              <w:left w:type="dxa" w:w="240"/>
              <w:bottom w:type="dxa" w:w="160"/>
              <w:right w:type="dxa" w:w="240"/>
            </w:tcMar>
          </w:tcPr>
          <w:p>
            <w:r>
              <w:rPr>
                <w:i/>
                <w:iCs/>
                <w:color w:val="0A2540"/>
              </w:rPr>
              <w:t xml:space="preserve">Approach Oncomfort for a co-distribution or content-licensing conversation in Year 2. They have GCC ground game (Saudi specifically); we have rehab content. Combined offering could accelerate Saudi entry materially.</w:t>
            </w:r>
          </w:p>
        </w:tc>
      </w:tr>
    </w:tbl>
    <w:p>
      <w:pPr>
        <w:pStyle w:val="Heading1"/>
        <w:pageBreakBefore/>
      </w:pPr>
      <w:r>
        <w:rPr>
          <w:color w:val="0A2540"/>
        </w:rPr>
        <w:t xml:space="preserve">Adjacent Substitutes</w:t>
      </w:r>
    </w:p>
    <w:p>
      <w:pPr>
        <w:spacing w:after="140"/>
      </w:pPr>
      <w:r>
        <w:t xml:space="preserve">Several non-VR companies compete for the same clinic budget. Even if they don’t play in VR, clinics consider these alternatives when allocating digital therapeutics dollars. Understanding them is essential for sales conversations.</w:t>
      </w:r>
    </w:p>
    <w:p>
      <w:pPr>
        <w:pStyle w:val="Heading2"/>
      </w:pPr>
      <w:r>
        <w:rPr>
          <w:color w:val="0A2540"/>
        </w:rPr>
        <w:t xml:space="preserve">Hinge Health</w:t>
      </w:r>
    </w:p>
    <w:p>
      <w:pPr>
        <w:spacing w:after="140"/>
      </w:pPr>
      <w:r>
        <w:t xml:space="preserve">US digital MSK leader. Telehealth + sensors for back, knee, shoulder, neck pain. Direct-to-employer channel; not a clinic competitor in any traditional sense. USD 6B+ valuation pre-IPO, employer-health channel that bypasses traditional clinics. Worth understanding because some UAE corporate health benefit plans may evaluate Hinge for their employees.</w:t>
      </w:r>
    </w:p>
    <w:p>
      <w:pPr>
        <w:spacing w:after="140"/>
      </w:pPr>
      <w:r>
        <w:t xml:space="preserve">Implication: not a direct CUVR competitor in clinics; may compete for the SAME employer wellness budget if CUVR pursues that channel later. Frame CUVR as 'clinical-grade in-clinic adjunct, not a Hinge replacement.'</w:t>
      </w:r>
    </w:p>
    <w:p>
      <w:pPr>
        <w:pStyle w:val="Heading2"/>
      </w:pPr>
      <w:r>
        <w:rPr>
          <w:color w:val="0A2540"/>
        </w:rPr>
        <w:t xml:space="preserve">Kaia Health</w:t>
      </w:r>
    </w:p>
    <w:p>
      <w:pPr>
        <w:spacing w:after="140"/>
      </w:pPr>
      <w:r>
        <w:t xml:space="preserve">German digital MSK platform, similar to Hinge. App-based exercise programs with motion tracking via phone camera. Strong European employer channel. Limited clinic adoption. Not a meaningful CUVR competitor in current GTM.</w:t>
      </w:r>
    </w:p>
    <w:p>
      <w:pPr>
        <w:pStyle w:val="Heading2"/>
      </w:pPr>
      <w:r>
        <w:rPr>
          <w:color w:val="0A2540"/>
        </w:rPr>
        <w:t xml:space="preserve">Tyromotion / MotekForce / Hocoma</w:t>
      </w:r>
    </w:p>
    <w:p>
      <w:pPr>
        <w:spacing w:after="140"/>
      </w:pPr>
      <w:r>
        <w:t xml:space="preserve">Hardware-heavy in-clinic rehab equipment. Robotic exoskeletons, treadmill systems, force plates. USD 60–250K per system. Hospital and academic medical center buyers only. Not direct competitors to CUVR (different price point, different buyer); but they consume the same therapy time slots in hospital rehab departments.</w:t>
      </w:r>
    </w:p>
    <w:p>
      <w:pPr>
        <w:spacing w:after="140"/>
      </w:pPr>
      <w:r>
        <w:t xml:space="preserve">Implication: in hospital sales conversations, position CUVR as the 'high-utilization, low-capex complement' to existing rehab equipment, not a replacement. CUVR earns its session slots; the robots remain for high-acuity cases.</w:t>
      </w:r>
    </w:p>
    <w:p>
      <w:pPr>
        <w:pStyle w:val="Heading2"/>
      </w:pPr>
      <w:r>
        <w:rPr>
          <w:color w:val="0A2540"/>
        </w:rPr>
        <w:t xml:space="preserve">EMR-integrated Practice Tools (DrChrono, Jane App, etc.)</w:t>
      </w:r>
    </w:p>
    <w:p>
      <w:pPr>
        <w:spacing w:after="140"/>
      </w:pPr>
      <w:r>
        <w:t xml:space="preserve">These are not clinical content platforms but practice management software. They sometimes include rudimentary exercise prescription. CUVR should integrate with these (read/write to EMR via standard APIs) but not compete with them.</w:t>
      </w:r>
    </w:p>
    <w:p>
      <w:pPr>
        <w:pStyle w:val="Heading1"/>
        <w:pageBreakBefore/>
      </w:pPr>
      <w:r>
        <w:rPr>
          <w:color w:val="0A2540"/>
        </w:rPr>
        <w:t xml:space="preserve">Strategic Synthesis</w:t>
      </w:r>
    </w:p>
    <w:p>
      <w:pPr>
        <w:pStyle w:val="Heading2"/>
      </w:pPr>
      <w:r>
        <w:rPr>
          <w:color w:val="0A2540"/>
        </w:rPr>
        <w:t xml:space="preserve">Where We Win</w:t>
      </w:r>
    </w:p>
    <w:p>
      <w:pPr>
        <w:pStyle w:val="ListParagraph"/>
        <w:numPr>
          <w:ilvl w:val="0"/>
          <w:numId w:val="2"/>
        </w:numPr>
        <w:spacing w:after="80"/>
      </w:pPr>
      <w:r>
        <w:t xml:space="preserve">GCC market specificity. None of the major competitors will localize for AED billing, Arabic content, DHA reimbursement, and Emirati patient demographics within the next 24 months.</w:t>
      </w:r>
    </w:p>
    <w:p>
      <w:pPr>
        <w:pStyle w:val="ListParagraph"/>
        <w:numPr>
          <w:ilvl w:val="0"/>
          <w:numId w:val="2"/>
        </w:numPr>
        <w:spacing w:after="80"/>
      </w:pPr>
      <w:r>
        <w:t xml:space="preserve">Mid-market clinic economics. MindMaze and Penumbra cannot economically serve clinics; XRHealth and Neuro Rehab VR can but with worse clinical depth.</w:t>
      </w:r>
    </w:p>
    <w:p>
      <w:pPr>
        <w:pStyle w:val="ListParagraph"/>
        <w:numPr>
          <w:ilvl w:val="0"/>
          <w:numId w:val="2"/>
        </w:numPr>
        <w:spacing w:after="80"/>
      </w:pPr>
      <w:r>
        <w:t xml:space="preserve">B2B2C alignment. We do not disintermediate clinics. XRHealth’s telehealth pivot creates an opening for a clinic-aligned alternative.</w:t>
      </w:r>
    </w:p>
    <w:p>
      <w:pPr>
        <w:pStyle w:val="ListParagraph"/>
        <w:numPr>
          <w:ilvl w:val="0"/>
          <w:numId w:val="2"/>
        </w:numPr>
        <w:spacing w:after="80"/>
      </w:pPr>
      <w:r>
        <w:t xml:space="preserve">Regulatory speed. DHA Sandbox + Class IIa pathway can deliver commercial launch in 6–9 months. US/EU competitors entering UAE will need 12–18 months minimum.</w:t>
      </w:r>
    </w:p>
    <w:p>
      <w:pPr>
        <w:pStyle w:val="ListParagraph"/>
        <w:numPr>
          <w:ilvl w:val="0"/>
          <w:numId w:val="2"/>
        </w:numPr>
        <w:spacing w:after="80"/>
      </w:pPr>
      <w:r>
        <w:t xml:space="preserve">Insurer lock-in. First reimbursement code captured creates a 5+ year defensible moat — insurers prefer to standardize, not multi-source.</w:t>
      </w:r>
    </w:p>
    <w:p>
      <w:pPr>
        <w:pStyle w:val="Heading2"/>
      </w:pPr>
      <w:r>
        <w:rPr>
          <w:color w:val="0A2540"/>
        </w:rPr>
        <w:t xml:space="preserve">Where We Lose</w:t>
      </w:r>
    </w:p>
    <w:p>
      <w:pPr>
        <w:pStyle w:val="ListParagraph"/>
        <w:numPr>
          <w:ilvl w:val="0"/>
          <w:numId w:val="2"/>
        </w:numPr>
        <w:spacing w:after="80"/>
      </w:pPr>
      <w:r>
        <w:t xml:space="preserve">Brand recognition vs XRHealth and MindMaze in the global academic / clinical conference circuit. Counter: do not fight where we cannot win — focus locally for 24 months.</w:t>
      </w:r>
    </w:p>
    <w:p>
      <w:pPr>
        <w:pStyle w:val="ListParagraph"/>
        <w:numPr>
          <w:ilvl w:val="0"/>
          <w:numId w:val="2"/>
        </w:numPr>
        <w:spacing w:after="80"/>
      </w:pPr>
      <w:r>
        <w:t xml:space="preserve">Clinical evidence depth vs MindMaze in the early years. Counter: leverage existing peer-reviewed VR rehab evidence (which is now extensive) rather than build from scratch; commission a UAE-specific cost-effectiveness study.</w:t>
      </w:r>
    </w:p>
    <w:p>
      <w:pPr>
        <w:pStyle w:val="ListParagraph"/>
        <w:numPr>
          <w:ilvl w:val="0"/>
          <w:numId w:val="2"/>
        </w:numPr>
        <w:spacing w:after="80"/>
      </w:pPr>
      <w:r>
        <w:t xml:space="preserve">Capital depth vs Penumbra (publicly funded), MindMaze (USD 200M raised), XRHealth (deep Series). Counter: capital efficiency wins regional plays; we don’t need to outspend, only to outmaneuver.</w:t>
      </w:r>
    </w:p>
    <w:p>
      <w:pPr>
        <w:pStyle w:val="Heading2"/>
      </w:pPr>
      <w:r>
        <w:rPr>
          <w:color w:val="0A2540"/>
        </w:rPr>
        <w:t xml:space="preserve">Strategic Priorities Driven By This Analysis</w:t>
      </w:r>
    </w:p>
    <w:p>
      <w:pPr>
        <w:pStyle w:val="ListParagraph"/>
        <w:numPr>
          <w:ilvl w:val="0"/>
          <w:numId w:val="2"/>
        </w:numPr>
        <w:spacing w:after="80"/>
      </w:pPr>
      <w:r>
        <w:t xml:space="preserve">File CUVR trademark in UAE in Phase 1 Week 1. Run US trademark conflict search.</w:t>
      </w:r>
    </w:p>
    <w:p>
      <w:pPr>
        <w:pStyle w:val="ListParagraph"/>
        <w:numPr>
          <w:ilvl w:val="0"/>
          <w:numId w:val="2"/>
        </w:numPr>
        <w:spacing w:after="80"/>
      </w:pPr>
      <w:r>
        <w:t xml:space="preserve">Build the 'why not XRHealth' message into every sales conversation. Lead with localization, clinic-alignment, and AED pricing.</w:t>
      </w:r>
    </w:p>
    <w:p>
      <w:pPr>
        <w:pStyle w:val="ListParagraph"/>
        <w:numPr>
          <w:ilvl w:val="0"/>
          <w:numId w:val="2"/>
        </w:numPr>
        <w:spacing w:after="80"/>
      </w:pPr>
      <w:r>
        <w:t xml:space="preserve">Pursue partnership conversations with Karuna (chronic pain content licensing) and Oncomfort (Saudi co-distribution) starting Month 12.</w:t>
      </w:r>
    </w:p>
    <w:p>
      <w:pPr>
        <w:pStyle w:val="ListParagraph"/>
        <w:numPr>
          <w:ilvl w:val="0"/>
          <w:numId w:val="2"/>
        </w:numPr>
        <w:spacing w:after="80"/>
      </w:pPr>
      <w:r>
        <w:t xml:space="preserve">Invest specifically in the outcomes dashboard — this is where Neuro Rehab VR is weakest and where DHA reimbursement reporting will require strength.</w:t>
      </w:r>
    </w:p>
    <w:p>
      <w:pPr>
        <w:pStyle w:val="ListParagraph"/>
        <w:numPr>
          <w:ilvl w:val="0"/>
          <w:numId w:val="2"/>
        </w:numPr>
        <w:spacing w:after="80"/>
      </w:pPr>
      <w:r>
        <w:t xml:space="preserve">Avoid hospital-tier-1 sales conflicts with MindMaze. Win clinics first; let hospital relationships follow from clinic case studies.</w:t>
      </w:r>
    </w:p>
    <w:p>
      <w:pPr>
        <w:pStyle w:val="ListParagraph"/>
        <w:numPr>
          <w:ilvl w:val="0"/>
          <w:numId w:val="2"/>
        </w:numPr>
        <w:spacing w:after="80"/>
      </w:pPr>
      <w:r>
        <w:t xml:space="preserve">Track XRHealth’s telehealth expansion. If they enter UAE direct-to-consumer in 2027–2028, CUVR’s clinic alignment becomes a sword (clinics will choose us over the company that bypasses them).</w:t>
      </w:r>
    </w:p>
    <w:p>
      <w:pPr>
        <w:pStyle w:val="Heading1"/>
        <w:pageBreakBefore/>
      </w:pPr>
      <w:r>
        <w:rPr>
          <w:color w:val="0A2540"/>
        </w:rPr>
        <w:t xml:space="preserve">Closing Note</w:t>
      </w:r>
    </w:p>
    <w:p>
      <w:pPr>
        <w:spacing w:after="140"/>
      </w:pPr>
      <w:r>
        <w:t xml:space="preserve">The competitive landscape is more favorable for CUVR than first-time analysis suggests. Most VR rehab companies are structurally incapable of serving the GCC well within the relevant timeframe. The competitors that could enter (XRHealth, MindMaze) have other, easier markets to capture first. The competitors local to the region (Oncomfort) play in adjacent indications.</w:t>
      </w:r>
    </w:p>
    <w:p>
      <w:pPr>
        <w:spacing w:after="140"/>
      </w:pPr>
      <w:r>
        <w:t xml:space="preserve">The serious risks are not the named competitors — they are second-order: hospital-internal builds (Cleveland Clinic, Mubadala Health), local clones funded by GCC sovereign capital, and the brand collision with Cuvr.io. All three are manageable with focused effort in the first 90 days.</w:t>
      </w:r>
    </w:p>
    <w:p>
      <w:pPr>
        <w:spacing w:after="140"/>
      </w:pPr>
      <w:r>
        <w:rPr>
          <w:b/>
          <w:bCs/>
          <w:i/>
          <w:iCs/>
        </w:rPr>
        <w:t xml:space="preserve">Capture the GCC. Then defend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4748B"/>
        <w:sz w:val="18"/>
        <w:szCs w:val="18"/>
      </w:rPr>
      <w:t xml:space="preserve">Prepared April 2026  ·  Dubai, UAE</w:t>
    </w:r>
    <w:r>
      <w:rPr>
        <w:color w:val="64748B"/>
        <w:sz w:val="18"/>
        <w:szCs w:val="18"/>
      </w:rPr>
      <w:t xml:space="preserve">	</w:t>
    </w:r>
    <w:r>
      <w:rPr>
        <w:color w:val="64748B"/>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0A2540"/>
        <w:sz w:val="18"/>
        <w:szCs w:val="18"/>
      </w:rPr>
      <w:t xml:space="preserve">CUVR  ·  Competitor Teardown</w:t>
    </w:r>
    <w:r>
      <w:rPr>
        <w:i/>
        <w:iCs/>
        <w:color w:val="64748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254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A254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A6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CUVR Competitor Teardown</dc:title>
  <dc:creator>CUVR</dc:creator>
  <cp:lastModifiedBy>Un-named</cp:lastModifiedBy>
  <cp:revision>1</cp:revision>
  <dcterms:created xsi:type="dcterms:W3CDTF">2026-04-28T15:51:13.341Z</dcterms:created>
  <dcterms:modified xsi:type="dcterms:W3CDTF">2026-04-28T15:51:13.348Z</dcterms:modified>
</cp:coreProperties>
</file>

<file path=docProps/custom.xml><?xml version="1.0" encoding="utf-8"?>
<Properties xmlns="http://schemas.openxmlformats.org/officeDocument/2006/custom-properties" xmlns:vt="http://schemas.openxmlformats.org/officeDocument/2006/docPropsVTypes"/>
</file>