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left"/>
      </w:pPr>
      <w:r>
        <w:rPr>
          <w:rFonts w:ascii="Calibri" w:cs="Calibri" w:eastAsia="Calibri" w:hAnsi="Calibri"/>
          <w:b/>
          <w:bCs/>
          <w:color w:val="0A2540"/>
          <w:sz w:val="56"/>
          <w:szCs w:val="56"/>
        </w:rPr>
        <w:t xml:space="preserve">CUVR</w:t>
      </w:r>
    </w:p>
    <w:p>
      <w:pPr>
        <w:spacing w:after="480" w:before="0"/>
      </w:pPr>
      <w:r>
        <w:rPr>
          <w:rFonts w:ascii="Calibri" w:cs="Calibri" w:eastAsia="Calibri" w:hAnsi="Calibri"/>
          <w:b/>
          <w:bCs/>
          <w:color w:val="1F2937"/>
          <w:sz w:val="36"/>
          <w:szCs w:val="36"/>
        </w:rPr>
        <w:t xml:space="preserve">DHA Regulatory Pathway &amp; Compliance Strategy</w:t>
      </w:r>
    </w:p>
    <w:p>
      <w:pPr>
        <w:spacing w:after="240" w:before="0"/>
      </w:pPr>
      <w:r>
        <w:rPr>
          <w:rFonts w:ascii="Calibri" w:cs="Calibri" w:eastAsia="Calibri" w:hAnsi="Calibri"/>
          <w:i/>
          <w:iCs/>
          <w:color w:val="64748B"/>
          <w:sz w:val="24"/>
          <w:szCs w:val="24"/>
        </w:rPr>
        <w:t xml:space="preserve">Software-as-a-Medical-Device (SaMD) Class IIa  ·  UAE / GCC</w:t>
      </w:r>
    </w:p>
    <w:p>
      <w:pPr>
        <w:spacing w:after="720" w:before="0"/>
      </w:pPr>
      <w:r>
        <w:rPr>
          <w:rFonts w:ascii="Calibri" w:cs="Calibri" w:eastAsia="Calibri" w:hAnsi="Calibri"/>
          <w:color w:val="64748B"/>
          <w:sz w:val="20"/>
          <w:szCs w:val="20"/>
        </w:rPr>
        <w:t xml:space="preserve">Prepared April 2026  ·  Confidential — Internal &amp; Investor Use</w:t>
      </w:r>
    </w:p>
    <w:p>
      <w:pPr>
        <w:pBdr>
          <w:bottom w:val="single" w:color="E2E8F0" w:sz="6" w:space="1"/>
        </w:pBdr>
        <w:spacing w:after="120" w:before="120"/>
      </w:pPr>
      <w:r>
        <w:t xml:space="preserve"/>
      </w:r>
    </w:p>
    <w:p>
      <w:pPr>
        <w:pStyle w:val="Heading1"/>
        <w:spacing w:after="180" w:before="360"/>
      </w:pPr>
      <w:r>
        <w:rPr>
          <w:rFonts w:ascii="Calibri" w:cs="Calibri" w:eastAsia="Calibri" w:hAnsi="Calibri"/>
          <w:b/>
          <w:bCs/>
          <w:color w:val="0A2540"/>
          <w:sz w:val="32"/>
          <w:szCs w:val="32"/>
        </w:rPr>
        <w:t xml:space="preserve">Executive Summary</w:t>
      </w:r>
    </w:p>
    <w:p>
      <w:pPr>
        <w:spacing w:after="60" w:before="60" w:line="300"/>
      </w:pPr>
      <w:r>
        <w:rPr>
          <w:rFonts w:ascii="Calibri" w:cs="Calibri" w:eastAsia="Calibri" w:hAnsi="Calibri"/>
          <w:color w:val="1F2937"/>
          <w:sz w:val="22"/>
          <w:szCs w:val="22"/>
        </w:rPr>
        <w:t xml:space="preserve">CUVR is a VR-gamified rehabilitation platform classified as Software-as-a-Medical-Device (SaMD), Class IIa, under both UAE Ministry of Health and Prevention (MoHAP) and Dubai Health Authority (DHA) frameworks. This document maps the full regulatory pathway across UAE jurisdictions (DHA, MoHAP, DHCC, ADHICS), data privacy requirements (DHA Health Data Protection Regulation, UAE PDPL, Federal Law No. 2 of 2019), and parallel pathways for Saudi Arabia (SFDA) and the broader GCC.</w:t>
      </w:r>
    </w:p>
    <w:p>
      <w:pPr>
        <w:spacing w:after="60" w:before="60" w:line="300"/>
      </w:pPr>
      <w:r>
        <w:rPr>
          <w:rFonts w:ascii="Calibri" w:cs="Calibri" w:eastAsia="Calibri" w:hAnsi="Calibri"/>
          <w:color w:val="1F2937"/>
          <w:sz w:val="22"/>
          <w:szCs w:val="22"/>
        </w:rPr>
        <w:t xml:space="preserve">Our recommended strategy is a phased, staged-conformity approach: (1) operate under physiotherapy-clinic licensure for early pilots using a Decision Support / Wellness positioning, (2) file Class IIa SaMD with MoHAP in parallel during the pilot period, (3) achieve full Medical Device Registration before scaled commercialization. Estimated cost: AED 280,000 to 420,000. Estimated timeline: 9–14 months from kick-off to full registration.</w:t>
      </w:r>
    </w:p>
    <w:p>
      <w:pPr>
        <w:pBdr>
          <w:left w:val="single" w:color="00A685" w:sz="24" w:space="12"/>
        </w:pBdr>
        <w:shd w:fill="F8FAFB" w:val="clear"/>
        <w:spacing w:after="180" w:before="180"/>
      </w:pPr>
      <w:r>
        <w:rPr>
          <w:rFonts w:ascii="Calibri" w:cs="Calibri" w:eastAsia="Calibri" w:hAnsi="Calibri"/>
          <w:i/>
          <w:iCs/>
          <w:color w:val="1F2937"/>
          <w:sz w:val="22"/>
          <w:szCs w:val="22"/>
        </w:rPr>
        <w:t xml:space="preserve">Bottom line: the regulatory path is well-defined, achievable within a seed-stage budget, and unlocks defensible moats (registration is a 9–14 month lead time competitors cannot shortcut). Begin filings in parallel with pilot signups — do not wait.</w:t>
      </w:r>
    </w:p>
    <w:p>
      <w:pPr>
        <w:pStyle w:val="Heading1"/>
        <w:spacing w:after="180" w:before="360"/>
      </w:pPr>
      <w:r>
        <w:rPr>
          <w:rFonts w:ascii="Calibri" w:cs="Calibri" w:eastAsia="Calibri" w:hAnsi="Calibri"/>
          <w:b/>
          <w:bCs/>
          <w:color w:val="0A2540"/>
          <w:sz w:val="32"/>
          <w:szCs w:val="32"/>
        </w:rPr>
        <w:t xml:space="preserve">Section 1 — Regulatory Landscape: Authorities &amp; Jurisdictions</w:t>
      </w:r>
    </w:p>
    <w:p>
      <w:pPr>
        <w:pStyle w:val="Heading2"/>
        <w:spacing w:after="120" w:before="240"/>
      </w:pPr>
      <w:r>
        <w:rPr>
          <w:rFonts w:ascii="Calibri" w:cs="Calibri" w:eastAsia="Calibri" w:hAnsi="Calibri"/>
          <w:b/>
          <w:bCs/>
          <w:color w:val="0A2540"/>
          <w:sz w:val="26"/>
          <w:szCs w:val="26"/>
        </w:rPr>
        <w:t xml:space="preserve">1.1 The Three UAE Health Authorities</w:t>
      </w:r>
    </w:p>
    <w:p>
      <w:pPr>
        <w:spacing w:after="60" w:before="60" w:line="300"/>
      </w:pPr>
      <w:r>
        <w:rPr>
          <w:rFonts w:ascii="Calibri" w:cs="Calibri" w:eastAsia="Calibri" w:hAnsi="Calibri"/>
          <w:color w:val="1F2937"/>
          <w:sz w:val="22"/>
          <w:szCs w:val="22"/>
        </w:rPr>
        <w:t xml:space="preserve">The UAE has a federated healthcare regulatory model. Three authorities govern medical devices and clinical software, with overlapping but non-identical jurisdiction. Understanding which authority applies in which emirate is foundational.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Authority</w:t>
            </w:r>
          </w:p>
        </w:tc>
        <w:tc>
          <w:tcPr>
            <w:tcW w:type="dxa" w:w="35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Jurisdiction</w:t>
            </w:r>
          </w:p>
        </w:tc>
        <w:tc>
          <w:tcPr>
            <w:tcW w:type="dxa" w:w="366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Role for CUVR</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MoHAP</w:t>
            </w:r>
          </w:p>
        </w:tc>
        <w:tc>
          <w:tcPr>
            <w:tcW w:type="dxa" w:w="35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Federal — all UAE except DHA (Dubai), DoH (Abu Dhabi), DHCC free zone</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Primary medical device registrar; issues Medical Device Registration Certificate (MDRC) recognized across UAE</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DHA</w:t>
            </w:r>
          </w:p>
        </w:tc>
        <w:tc>
          <w:tcPr>
            <w:tcW w:type="dxa" w:w="35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Emirate of Dubai (excluding DHCC free zone)</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Licenses healthcare providers in Dubai; enforces Health Data Protection Regulation 2022; approves clinical software used in Dubai facilities</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DoH (Abu Dhabi)</w:t>
            </w:r>
          </w:p>
        </w:tc>
        <w:tc>
          <w:tcPr>
            <w:tcW w:type="dxa" w:w="35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Emirate of Abu Dhabi</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Provider licensing and clinical software approval in Abu Dhabi; ADHICS information security compliance</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DHCC Authority</w:t>
            </w:r>
          </w:p>
        </w:tc>
        <w:tc>
          <w:tcPr>
            <w:tcW w:type="dxa" w:w="35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Dubai Healthcare City free zone</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Independent regulator within DHCC; CPQ (Center for Healthcare Planning &amp; Quality) accredits providers; faster approval pathway for digital health</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MoHAP — Medical Devices Section</w:t>
            </w:r>
          </w:p>
        </w:tc>
        <w:tc>
          <w:tcPr>
            <w:tcW w:type="dxa" w:w="35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Federal device registration</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Issues SaMD classification opinions and registration certificates valid UAE-wide</w:t>
            </w:r>
          </w:p>
        </w:tc>
      </w:tr>
    </w:tbl>
    <w:p>
      <w:pPr>
        <w:spacing w:after="60" w:before="60" w:line="300"/>
      </w:pPr>
      <w:r>
        <w:rPr>
          <w:rFonts w:ascii="Calibri" w:cs="Calibri" w:eastAsia="Calibri" w:hAnsi="Calibri"/>
          <w:color w:val="1F2937"/>
          <w:sz w:val="22"/>
          <w:szCs w:val="22"/>
        </w:rPr>
        <w:t xml:space="preserve"/>
      </w:r>
    </w:p>
    <w:p>
      <w:pPr>
        <w:pStyle w:val="Heading2"/>
        <w:spacing w:after="120" w:before="240"/>
      </w:pPr>
      <w:r>
        <w:rPr>
          <w:rFonts w:ascii="Calibri" w:cs="Calibri" w:eastAsia="Calibri" w:hAnsi="Calibri"/>
          <w:b/>
          <w:bCs/>
          <w:color w:val="0A2540"/>
          <w:sz w:val="26"/>
          <w:szCs w:val="26"/>
        </w:rPr>
        <w:t xml:space="preserve">1.2 Why DHA Specifically</w:t>
      </w:r>
    </w:p>
    <w:p>
      <w:pPr>
        <w:spacing w:after="60" w:before="60" w:line="300"/>
      </w:pPr>
      <w:r>
        <w:rPr>
          <w:rFonts w:ascii="Calibri" w:cs="Calibri" w:eastAsia="Calibri" w:hAnsi="Calibri"/>
          <w:color w:val="1F2937"/>
          <w:sz w:val="22"/>
          <w:szCs w:val="22"/>
        </w:rPr>
        <w:t xml:space="preserve">Dubai is CUVR's beachhead. Mediclinic, Aster, NMC, and Emirates Health Services operate the highest concentration of physiotherapy and neurorehabilitation programs in the UAE. The DHA's health data protection regulation (2022) and its Sheryan licensing system are the gating compliance items for clinic deployment in Dubai — even before federal device registration is finalized, a Dubai clinic cannot route patient data through CUVR without DHA-recognized data handling.</w:t>
      </w:r>
    </w:p>
    <w:p>
      <w:pPr>
        <w:pStyle w:val="Heading2"/>
        <w:spacing w:after="120" w:before="240"/>
      </w:pPr>
      <w:r>
        <w:rPr>
          <w:rFonts w:ascii="Calibri" w:cs="Calibri" w:eastAsia="Calibri" w:hAnsi="Calibri"/>
          <w:b/>
          <w:bCs/>
          <w:color w:val="0A2540"/>
          <w:sz w:val="26"/>
          <w:szCs w:val="26"/>
        </w:rPr>
        <w:t xml:space="preserve">1.3 Free Zone Considerations: DHCC, DSP, ADGM</w:t>
      </w:r>
    </w:p>
    <w:p>
      <w:pPr>
        <w:spacing w:after="60" w:before="60" w:line="300"/>
      </w:pPr>
      <w:r>
        <w:rPr>
          <w:rFonts w:ascii="Calibri" w:cs="Calibri" w:eastAsia="Calibri" w:hAnsi="Calibri"/>
          <w:color w:val="1F2937"/>
          <w:sz w:val="22"/>
          <w:szCs w:val="22"/>
        </w:rPr>
        <w:t xml:space="preserve">Three free zones offer distinct advantages. DHCC (Dubai Healthcare City) is purpose-built for healthcare — its CPQ accreditation can be 30–40% faster than DHA for digital health solutions, and 100% foreign ownership has been standard there since 2002. DSP (Dubai Science Park) is the natural home for medtech R&amp;D; it offers lab licensing and proximity to clinical partners. ADGM (Abu Dhabi Global Market) provides the strongest data privacy regime in the region (modeled on GDPR) and is favored for fundraising and IP holding structures.</w:t>
      </w:r>
    </w:p>
    <w:p>
      <w:pPr>
        <w:pBdr>
          <w:left w:val="single" w:color="00A685" w:sz="24" w:space="12"/>
        </w:pBdr>
        <w:shd w:fill="F8FAFB" w:val="clear"/>
        <w:spacing w:after="180" w:before="180"/>
      </w:pPr>
      <w:r>
        <w:rPr>
          <w:rFonts w:ascii="Calibri" w:cs="Calibri" w:eastAsia="Calibri" w:hAnsi="Calibri"/>
          <w:i/>
          <w:iCs/>
          <w:color w:val="1F2937"/>
          <w:sz w:val="22"/>
          <w:szCs w:val="22"/>
        </w:rPr>
        <w:t xml:space="preserve">Recommended structure: a UAE Mainland LLC (DED) for clinical operations and DHA licensing, with an ADGM holding company for IP and equity. This dual-entity structure is now standard for VC-backed UAE health tech and mirrors what Hala Health, Klaim, and Health at Hand have used.</w:t>
      </w:r>
    </w:p>
    <w:p>
      <w:pPr>
        <w:pStyle w:val="Heading1"/>
        <w:spacing w:after="180" w:before="360"/>
      </w:pPr>
      <w:r>
        <w:rPr>
          <w:rFonts w:ascii="Calibri" w:cs="Calibri" w:eastAsia="Calibri" w:hAnsi="Calibri"/>
          <w:b/>
          <w:bCs/>
          <w:color w:val="0A2540"/>
          <w:sz w:val="32"/>
          <w:szCs w:val="32"/>
        </w:rPr>
        <w:t xml:space="preserve">Section 2 — Device Classification: Why Class IIa</w:t>
      </w:r>
    </w:p>
    <w:p>
      <w:pPr>
        <w:pStyle w:val="Heading2"/>
        <w:spacing w:after="120" w:before="240"/>
      </w:pPr>
      <w:r>
        <w:rPr>
          <w:rFonts w:ascii="Calibri" w:cs="Calibri" w:eastAsia="Calibri" w:hAnsi="Calibri"/>
          <w:b/>
          <w:bCs/>
          <w:color w:val="0A2540"/>
          <w:sz w:val="26"/>
          <w:szCs w:val="26"/>
        </w:rPr>
        <w:t xml:space="preserve">2.1 SaMD Risk Classification</w:t>
      </w:r>
    </w:p>
    <w:p>
      <w:pPr>
        <w:spacing w:after="60" w:before="60" w:line="300"/>
      </w:pPr>
      <w:r>
        <w:rPr>
          <w:rFonts w:ascii="Calibri" w:cs="Calibri" w:eastAsia="Calibri" w:hAnsi="Calibri"/>
          <w:color w:val="1F2937"/>
          <w:sz w:val="22"/>
          <w:szCs w:val="22"/>
        </w:rPr>
        <w:t xml:space="preserve">UAE follows the IMDRF (International Medical Device Regulators Forum) framework for SaMD classification, harmonized with EU MDR. Classification is a function of (a) the significance of the information provided to the healthcare decision and (b) the state of the healthcare situation or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000"/>
        <w:gridCol w:w="2360"/>
      </w:tblGrid>
      <w:tr>
        <w:trPr>
          <w:tblHeader/>
        </w:trPr>
        <w:tc>
          <w:tcPr>
            <w:tcW w:type="dxa" w:w="12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Class</w:t>
            </w:r>
          </w:p>
        </w:tc>
        <w:tc>
          <w:tcPr>
            <w:tcW w:type="dxa" w:w="18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Risk</w:t>
            </w:r>
          </w:p>
        </w:tc>
        <w:tc>
          <w:tcPr>
            <w:tcW w:type="dxa" w:w="40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Examples</w:t>
            </w:r>
          </w:p>
        </w:tc>
        <w:tc>
          <w:tcPr>
            <w:tcW w:type="dxa" w:w="236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CUVR Fit?</w:t>
            </w:r>
          </w:p>
        </w:tc>
      </w:tr>
      <w:tr>
        <w:tc>
          <w:tcPr>
            <w:tcW w:type="dxa" w:w="1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w:t>
            </w:r>
          </w:p>
        </w:tc>
        <w:tc>
          <w:tcPr>
            <w:tcW w:type="dxa" w:w="18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Low</w:t>
            </w:r>
          </w:p>
        </w:tc>
        <w:tc>
          <w:tcPr>
            <w:tcW w:type="dxa" w:w="4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Wellness apps, fitness trackers, generic exercise libraries</w:t>
            </w:r>
          </w:p>
        </w:tc>
        <w:tc>
          <w:tcPr>
            <w:tcW w:type="dxa" w:w="23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No — CUVR provides clinical decisions</w:t>
            </w:r>
          </w:p>
        </w:tc>
      </w:tr>
      <w:tr>
        <w:tc>
          <w:tcPr>
            <w:tcW w:type="dxa" w:w="1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IIa</w:t>
            </w:r>
          </w:p>
        </w:tc>
        <w:tc>
          <w:tcPr>
            <w:tcW w:type="dxa" w:w="18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Low–Moderate</w:t>
            </w:r>
          </w:p>
        </w:tc>
        <w:tc>
          <w:tcPr>
            <w:tcW w:type="dxa" w:w="4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Therapeutic exercise prescription, motor rehabilitation, cognitive training tools</w:t>
            </w:r>
          </w:p>
        </w:tc>
        <w:tc>
          <w:tcPr>
            <w:tcW w:type="dxa" w:w="23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YES — primary classification</w:t>
            </w:r>
          </w:p>
        </w:tc>
      </w:tr>
      <w:tr>
        <w:tc>
          <w:tcPr>
            <w:tcW w:type="dxa" w:w="1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IIb</w:t>
            </w:r>
          </w:p>
        </w:tc>
        <w:tc>
          <w:tcPr>
            <w:tcW w:type="dxa" w:w="18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Moderate–High</w:t>
            </w:r>
          </w:p>
        </w:tc>
        <w:tc>
          <w:tcPr>
            <w:tcW w:type="dxa" w:w="4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Diagnostic algorithms, dosing recommendations, AI triage</w:t>
            </w:r>
          </w:p>
        </w:tc>
        <w:tc>
          <w:tcPr>
            <w:tcW w:type="dxa" w:w="23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Possible — only if we add diagnostic AI</w:t>
            </w:r>
          </w:p>
        </w:tc>
      </w:tr>
      <w:tr>
        <w:tc>
          <w:tcPr>
            <w:tcW w:type="dxa" w:w="1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III</w:t>
            </w:r>
          </w:p>
        </w:tc>
        <w:tc>
          <w:tcPr>
            <w:tcW w:type="dxa" w:w="18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High</w:t>
            </w:r>
          </w:p>
        </w:tc>
        <w:tc>
          <w:tcPr>
            <w:tcW w:type="dxa" w:w="4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Life-supporting, life-sustaining, implantable software</w:t>
            </w:r>
          </w:p>
        </w:tc>
        <w:tc>
          <w:tcPr>
            <w:tcW w:type="dxa" w:w="23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No — not applicable</w:t>
            </w:r>
          </w:p>
        </w:tc>
      </w:tr>
    </w:tbl>
    <w:p>
      <w:pPr>
        <w:spacing w:after="60" w:before="60" w:line="300"/>
      </w:pPr>
      <w:r>
        <w:rPr>
          <w:rFonts w:ascii="Calibri" w:cs="Calibri" w:eastAsia="Calibri" w:hAnsi="Calibri"/>
          <w:color w:val="1F2937"/>
          <w:sz w:val="22"/>
          <w:szCs w:val="22"/>
        </w:rPr>
        <w:t xml:space="preserve"/>
      </w:r>
    </w:p>
    <w:p>
      <w:pPr>
        <w:pStyle w:val="Heading2"/>
        <w:spacing w:after="120" w:before="240"/>
      </w:pPr>
      <w:r>
        <w:rPr>
          <w:rFonts w:ascii="Calibri" w:cs="Calibri" w:eastAsia="Calibri" w:hAnsi="Calibri"/>
          <w:b/>
          <w:bCs/>
          <w:color w:val="0A2540"/>
          <w:sz w:val="26"/>
          <w:szCs w:val="26"/>
        </w:rPr>
        <w:t xml:space="preserve">2.2 CUVR's Classification Rationale</w:t>
      </w:r>
    </w:p>
    <w:p>
      <w:pPr>
        <w:spacing w:after="60" w:before="60" w:line="300"/>
      </w:pPr>
      <w:r>
        <w:rPr>
          <w:rFonts w:ascii="Calibri" w:cs="Calibri" w:eastAsia="Calibri" w:hAnsi="Calibri"/>
          <w:color w:val="1F2937"/>
          <w:sz w:val="22"/>
          <w:szCs w:val="22"/>
        </w:rPr>
        <w:t xml:space="preserve">CUVR drives therapeutic motor and cognitive exercises in non-life-threatening conditions (post-stroke rehabilitation, musculoskeletal physiotherapy, balance/vestibular training, pediatric neurodevelopment). Per IMDRF Rule 11 and equivalent UAE/EU guidance, software intended to drive or influence clinical management of a non-serious, non-critical condition is Class IIa.</w:t>
      </w:r>
    </w:p>
    <w:p>
      <w:pPr>
        <w:spacing w:after="60" w:before="60" w:line="300"/>
      </w:pPr>
      <w:r>
        <w:rPr>
          <w:rFonts w:ascii="Calibri" w:cs="Calibri" w:eastAsia="Calibri" w:hAnsi="Calibri"/>
          <w:color w:val="1F2937"/>
          <w:sz w:val="22"/>
          <w:szCs w:val="22"/>
        </w:rPr>
        <w:t xml:space="preserve">If we later add diagnostic AI (e.g., automated stroke severity scoring from movement data), the affected module would re-classify to IIb. We will architect the platform so AI/diagnostic features are isolated as separate modules with their own conformity assessment.</w:t>
      </w:r>
    </w:p>
    <w:p>
      <w:pPr>
        <w:pStyle w:val="Heading2"/>
        <w:spacing w:after="120" w:before="240"/>
      </w:pPr>
      <w:r>
        <w:rPr>
          <w:rFonts w:ascii="Calibri" w:cs="Calibri" w:eastAsia="Calibri" w:hAnsi="Calibri"/>
          <w:b/>
          <w:bCs/>
          <w:color w:val="0A2540"/>
          <w:sz w:val="26"/>
          <w:szCs w:val="26"/>
        </w:rPr>
        <w:t xml:space="preserve">2.3 The Class IIa Implication</w:t>
      </w:r>
    </w:p>
    <w:p>
      <w:pPr>
        <w:spacing w:after="60" w:before="60" w:line="300"/>
      </w:pPr>
      <w:r>
        <w:rPr>
          <w:rFonts w:ascii="Calibri" w:cs="Calibri" w:eastAsia="Calibri" w:hAnsi="Calibri"/>
          <w:color w:val="1F2937"/>
          <w:sz w:val="22"/>
          <w:szCs w:val="22"/>
        </w:rPr>
        <w:t xml:space="preserve">Class IIa is the sweet spot for digital therapeutics. It requires substantive clinical evaluation and a quality management system, but does not require a full clinical trial in most cases. Conformity is established through:</w:t>
      </w:r>
    </w:p>
    <w:p>
      <w:pPr>
        <w:pStyle w:val="ListParagraph"/>
        <w:numPr>
          <w:ilvl w:val="0"/>
          <w:numId w:val="2"/>
        </w:numPr>
        <w:spacing w:after="40" w:before="40" w:line="280"/>
      </w:pPr>
      <w:r>
        <w:rPr>
          <w:rFonts w:ascii="Calibri" w:cs="Calibri" w:eastAsia="Calibri" w:hAnsi="Calibri"/>
          <w:color w:val="1F2937"/>
          <w:sz w:val="22"/>
          <w:szCs w:val="22"/>
        </w:rPr>
        <w:t xml:space="preserve">ISO 13485:2016 — Quality Management System for medical devices</w:t>
      </w:r>
    </w:p>
    <w:p>
      <w:pPr>
        <w:pStyle w:val="ListParagraph"/>
        <w:numPr>
          <w:ilvl w:val="0"/>
          <w:numId w:val="2"/>
        </w:numPr>
        <w:spacing w:after="40" w:before="40" w:line="280"/>
      </w:pPr>
      <w:r>
        <w:rPr>
          <w:rFonts w:ascii="Calibri" w:cs="Calibri" w:eastAsia="Calibri" w:hAnsi="Calibri"/>
          <w:color w:val="1F2937"/>
          <w:sz w:val="22"/>
          <w:szCs w:val="22"/>
        </w:rPr>
        <w:t xml:space="preserve">IEC 62304 — Medical device software lifecycle</w:t>
      </w:r>
    </w:p>
    <w:p>
      <w:pPr>
        <w:pStyle w:val="ListParagraph"/>
        <w:numPr>
          <w:ilvl w:val="0"/>
          <w:numId w:val="2"/>
        </w:numPr>
        <w:spacing w:after="40" w:before="40" w:line="280"/>
      </w:pPr>
      <w:r>
        <w:rPr>
          <w:rFonts w:ascii="Calibri" w:cs="Calibri" w:eastAsia="Calibri" w:hAnsi="Calibri"/>
          <w:color w:val="1F2937"/>
          <w:sz w:val="22"/>
          <w:szCs w:val="22"/>
        </w:rPr>
        <w:t xml:space="preserve">IEC 62366-1 — Usability engineering for medical devices</w:t>
      </w:r>
    </w:p>
    <w:p>
      <w:pPr>
        <w:pStyle w:val="ListParagraph"/>
        <w:numPr>
          <w:ilvl w:val="0"/>
          <w:numId w:val="2"/>
        </w:numPr>
        <w:spacing w:after="40" w:before="40" w:line="280"/>
      </w:pPr>
      <w:r>
        <w:rPr>
          <w:rFonts w:ascii="Calibri" w:cs="Calibri" w:eastAsia="Calibri" w:hAnsi="Calibri"/>
          <w:color w:val="1F2937"/>
          <w:sz w:val="22"/>
          <w:szCs w:val="22"/>
        </w:rPr>
        <w:t xml:space="preserve">ISO 14971 — Risk management</w:t>
      </w:r>
    </w:p>
    <w:p>
      <w:pPr>
        <w:pStyle w:val="ListParagraph"/>
        <w:numPr>
          <w:ilvl w:val="0"/>
          <w:numId w:val="2"/>
        </w:numPr>
        <w:spacing w:after="40" w:before="40" w:line="280"/>
      </w:pPr>
      <w:r>
        <w:rPr>
          <w:rFonts w:ascii="Calibri" w:cs="Calibri" w:eastAsia="Calibri" w:hAnsi="Calibri"/>
          <w:color w:val="1F2937"/>
          <w:sz w:val="22"/>
          <w:szCs w:val="22"/>
        </w:rPr>
        <w:t xml:space="preserve">Clinical evaluation per MEDDEV 2.7/1 rev 4 (or equivalent)</w:t>
      </w:r>
    </w:p>
    <w:p>
      <w:pPr>
        <w:pStyle w:val="ListParagraph"/>
        <w:numPr>
          <w:ilvl w:val="0"/>
          <w:numId w:val="2"/>
        </w:numPr>
        <w:spacing w:after="40" w:before="40" w:line="280"/>
      </w:pPr>
      <w:r>
        <w:rPr>
          <w:rFonts w:ascii="Calibri" w:cs="Calibri" w:eastAsia="Calibri" w:hAnsi="Calibri"/>
          <w:color w:val="1F2937"/>
          <w:sz w:val="22"/>
          <w:szCs w:val="22"/>
        </w:rPr>
        <w:t xml:space="preserve">Post-market surveillance and vigilance procedures</w:t>
      </w:r>
    </w:p>
    <w:p>
      <w:pPr>
        <w:pStyle w:val="Heading1"/>
        <w:spacing w:after="180" w:before="360"/>
      </w:pPr>
      <w:r>
        <w:rPr>
          <w:rFonts w:ascii="Calibri" w:cs="Calibri" w:eastAsia="Calibri" w:hAnsi="Calibri"/>
          <w:b/>
          <w:bCs/>
          <w:color w:val="0A2540"/>
          <w:sz w:val="32"/>
          <w:szCs w:val="32"/>
        </w:rPr>
        <w:t xml:space="preserve">Section 3 — The Three-Phase Pathway</w:t>
      </w:r>
    </w:p>
    <w:p>
      <w:pPr>
        <w:spacing w:after="60" w:before="60" w:line="300"/>
      </w:pPr>
      <w:r>
        <w:rPr>
          <w:rFonts w:ascii="Calibri" w:cs="Calibri" w:eastAsia="Calibri" w:hAnsi="Calibri"/>
          <w:color w:val="1F2937"/>
          <w:sz w:val="22"/>
          <w:szCs w:val="22"/>
        </w:rPr>
        <w:t xml:space="preserve">CUVR's regulatory strategy is staged. Each phase unlocks a specific commercial capability, with the goal of generating revenue and clinical evidence before the most expensive regulatory steps. This is the same approach used by Akili Interactive (US, EndeavorRx) and MindMaze (Switzerland, MindMotion).</w:t>
      </w:r>
    </w:p>
    <w:p>
      <w:pPr>
        <w:pStyle w:val="Heading2"/>
        <w:spacing w:after="120" w:before="240"/>
      </w:pPr>
      <w:r>
        <w:rPr>
          <w:rFonts w:ascii="Calibri" w:cs="Calibri" w:eastAsia="Calibri" w:hAnsi="Calibri"/>
          <w:b/>
          <w:bCs/>
          <w:color w:val="0A2540"/>
          <w:sz w:val="26"/>
          <w:szCs w:val="26"/>
        </w:rPr>
        <w:t xml:space="preserve">Phase 1 — Pilot Operation (Months 0–6)</w:t>
      </w:r>
    </w:p>
    <w:p>
      <w:pPr>
        <w:pStyle w:val="Heading3"/>
        <w:spacing w:after="100" w:before="200"/>
      </w:pPr>
      <w:r>
        <w:rPr>
          <w:rFonts w:ascii="Calibri" w:cs="Calibri" w:eastAsia="Calibri" w:hAnsi="Calibri"/>
          <w:b/>
          <w:bCs/>
          <w:color w:val="00A685"/>
          <w:sz w:val="23"/>
          <w:szCs w:val="23"/>
        </w:rPr>
        <w:t xml:space="preserve">Positioning: Wellness / Decision Support Tool</w:t>
      </w:r>
    </w:p>
    <w:p>
      <w:pPr>
        <w:spacing w:after="60" w:before="60" w:line="300"/>
      </w:pPr>
      <w:r>
        <w:rPr>
          <w:rFonts w:ascii="Calibri" w:cs="Calibri" w:eastAsia="Calibri" w:hAnsi="Calibri"/>
          <w:color w:val="1F2937"/>
          <w:sz w:val="22"/>
          <w:szCs w:val="22"/>
        </w:rPr>
        <w:t xml:space="preserve">Operate within physiotherapy-clinic licensure. CUVR is positioned as a therapist-supervised exercise enhancement tool, not as an autonomous diagnostic or treatment device. The therapist remains the licensed clinical agent; CUVR provides a tracked, gamified delivery channel for prescribed exercises.</w:t>
      </w:r>
    </w:p>
    <w:p>
      <w:pPr>
        <w:pStyle w:val="Heading3"/>
        <w:spacing w:after="100" w:before="200"/>
      </w:pPr>
      <w:r>
        <w:rPr>
          <w:rFonts w:ascii="Calibri" w:cs="Calibri" w:eastAsia="Calibri" w:hAnsi="Calibri"/>
          <w:b/>
          <w:bCs/>
          <w:color w:val="00A685"/>
          <w:sz w:val="23"/>
          <w:szCs w:val="23"/>
        </w:rPr>
        <w:t xml:space="preserve">Required Filings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DED Mainland License</w:t>
            </w:r>
          </w:p>
        </w:tc>
        <w:tc>
          <w:tcPr>
            <w:tcW w:type="dxa" w:w="63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Commercial trade license (Dubai Department of Economy &amp; Tourism). 1–2 weeks. AED 12K–25K.</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DHA Sheryan Notification</w:t>
            </w:r>
          </w:p>
        </w:tc>
        <w:tc>
          <w:tcPr>
            <w:tcW w:type="dxa" w:w="63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Technology vendor notification (not full provider license). Required for any software touching patient data in DHA jurisdiction. 4–6 weeks. Free or nominal.</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MoHAP Pre-Submission Meeting</w:t>
            </w:r>
          </w:p>
        </w:tc>
        <w:tc>
          <w:tcPr>
            <w:tcW w:type="dxa" w:w="63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Voluntary but strongly recommended. Establishes classification opinion in writing. 6–8 weeks. Free.</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DHA Health Data Protection Compliance Statement</w:t>
            </w:r>
          </w:p>
        </w:tc>
        <w:tc>
          <w:tcPr>
            <w:tcW w:type="dxa" w:w="63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Self-attestation + technical controls audit. Required before any pilot. 4 weeks. AED 15K–30K (consultant).</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Cyber Insurance + Data Processing Agreement template</w:t>
            </w:r>
          </w:p>
        </w:tc>
        <w:tc>
          <w:tcPr>
            <w:tcW w:type="dxa" w:w="63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Pre-condition for hospital procurement. 2 weeks. AED 25K–40K annual.</w:t>
            </w:r>
          </w:p>
        </w:tc>
      </w:tr>
    </w:tbl>
    <w:p>
      <w:pPr>
        <w:spacing w:after="60" w:before="60" w:line="300"/>
      </w:pPr>
      <w:r>
        <w:rPr>
          <w:rFonts w:ascii="Calibri" w:cs="Calibri" w:eastAsia="Calibri" w:hAnsi="Calibri"/>
          <w:color w:val="1F2937"/>
          <w:sz w:val="22"/>
          <w:szCs w:val="22"/>
        </w:rPr>
        <w:t xml:space="preserve"/>
      </w:r>
    </w:p>
    <w:p>
      <w:pPr>
        <w:pStyle w:val="Heading3"/>
        <w:spacing w:after="100" w:before="200"/>
      </w:pPr>
      <w:r>
        <w:rPr>
          <w:rFonts w:ascii="Calibri" w:cs="Calibri" w:eastAsia="Calibri" w:hAnsi="Calibri"/>
          <w:b/>
          <w:bCs/>
          <w:color w:val="00A685"/>
          <w:sz w:val="23"/>
          <w:szCs w:val="23"/>
        </w:rPr>
        <w:t xml:space="preserve">What Phase 1 Permits</w:t>
      </w:r>
    </w:p>
    <w:p>
      <w:pPr>
        <w:pStyle w:val="ListParagraph"/>
        <w:numPr>
          <w:ilvl w:val="0"/>
          <w:numId w:val="2"/>
        </w:numPr>
        <w:spacing w:after="40" w:before="40" w:line="280"/>
      </w:pPr>
      <w:r>
        <w:rPr>
          <w:rFonts w:ascii="Calibri" w:cs="Calibri" w:eastAsia="Calibri" w:hAnsi="Calibri"/>
          <w:color w:val="1F2937"/>
          <w:sz w:val="22"/>
          <w:szCs w:val="22"/>
        </w:rPr>
        <w:t xml:space="preserve">Paid pilots with up to ~10 sites in Dubai (DHA), Sharjah/Northern Emirates (MoHAP)</w:t>
      </w:r>
    </w:p>
    <w:p>
      <w:pPr>
        <w:pStyle w:val="ListParagraph"/>
        <w:numPr>
          <w:ilvl w:val="0"/>
          <w:numId w:val="2"/>
        </w:numPr>
        <w:spacing w:after="40" w:before="40" w:line="280"/>
      </w:pPr>
      <w:r>
        <w:rPr>
          <w:rFonts w:ascii="Calibri" w:cs="Calibri" w:eastAsia="Calibri" w:hAnsi="Calibri"/>
          <w:color w:val="1F2937"/>
          <w:sz w:val="22"/>
          <w:szCs w:val="22"/>
        </w:rPr>
        <w:t xml:space="preserve">Generation of real-world clinical data and outcomes evidence</w:t>
      </w:r>
    </w:p>
    <w:p>
      <w:pPr>
        <w:pStyle w:val="ListParagraph"/>
        <w:numPr>
          <w:ilvl w:val="0"/>
          <w:numId w:val="2"/>
        </w:numPr>
        <w:spacing w:after="40" w:before="40" w:line="280"/>
      </w:pPr>
      <w:r>
        <w:rPr>
          <w:rFonts w:ascii="Calibri" w:cs="Calibri" w:eastAsia="Calibri" w:hAnsi="Calibri"/>
          <w:color w:val="1F2937"/>
          <w:sz w:val="22"/>
          <w:szCs w:val="22"/>
        </w:rPr>
        <w:t xml:space="preserve">Therapist-supervised use only — not unsupervised home use</w:t>
      </w:r>
    </w:p>
    <w:p>
      <w:pPr>
        <w:pStyle w:val="ListParagraph"/>
        <w:numPr>
          <w:ilvl w:val="0"/>
          <w:numId w:val="2"/>
        </w:numPr>
        <w:spacing w:after="40" w:before="40" w:line="280"/>
      </w:pPr>
      <w:r>
        <w:rPr>
          <w:rFonts w:ascii="Calibri" w:cs="Calibri" w:eastAsia="Calibri" w:hAnsi="Calibri"/>
          <w:color w:val="1F2937"/>
          <w:sz w:val="22"/>
          <w:szCs w:val="22"/>
        </w:rPr>
        <w:t xml:space="preserve">Marketing as an 'adjunctive therapy enhancement tool', not a 'medical treatment'</w:t>
      </w:r>
    </w:p>
    <w:p>
      <w:pPr>
        <w:pStyle w:val="Heading3"/>
        <w:spacing w:after="100" w:before="200"/>
      </w:pPr>
      <w:r>
        <w:rPr>
          <w:rFonts w:ascii="Calibri" w:cs="Calibri" w:eastAsia="Calibri" w:hAnsi="Calibri"/>
          <w:b/>
          <w:bCs/>
          <w:color w:val="00A685"/>
          <w:sz w:val="23"/>
          <w:szCs w:val="23"/>
        </w:rPr>
        <w:t xml:space="preserve">Phase 1 Limitations</w:t>
      </w:r>
    </w:p>
    <w:p>
      <w:pPr>
        <w:pStyle w:val="ListParagraph"/>
        <w:numPr>
          <w:ilvl w:val="0"/>
          <w:numId w:val="2"/>
        </w:numPr>
        <w:spacing w:after="40" w:before="40" w:line="280"/>
      </w:pPr>
      <w:r>
        <w:rPr>
          <w:rFonts w:ascii="Calibri" w:cs="Calibri" w:eastAsia="Calibri" w:hAnsi="Calibri"/>
          <w:color w:val="1F2937"/>
          <w:sz w:val="22"/>
          <w:szCs w:val="22"/>
        </w:rPr>
        <w:t xml:space="preserve">Cannot bill insurance under medical device codes</w:t>
      </w:r>
    </w:p>
    <w:p>
      <w:pPr>
        <w:pStyle w:val="ListParagraph"/>
        <w:numPr>
          <w:ilvl w:val="0"/>
          <w:numId w:val="2"/>
        </w:numPr>
        <w:spacing w:after="40" w:before="40" w:line="280"/>
      </w:pPr>
      <w:r>
        <w:rPr>
          <w:rFonts w:ascii="Calibri" w:cs="Calibri" w:eastAsia="Calibri" w:hAnsi="Calibri"/>
          <w:color w:val="1F2937"/>
          <w:sz w:val="22"/>
          <w:szCs w:val="22"/>
        </w:rPr>
        <w:t xml:space="preserve">Cannot make therapeutic claims in marketing copy ('treats stroke', 'rehabilitates X')</w:t>
      </w:r>
    </w:p>
    <w:p>
      <w:pPr>
        <w:pStyle w:val="ListParagraph"/>
        <w:numPr>
          <w:ilvl w:val="0"/>
          <w:numId w:val="2"/>
        </w:numPr>
        <w:spacing w:after="40" w:before="40" w:line="280"/>
      </w:pPr>
      <w:r>
        <w:rPr>
          <w:rFonts w:ascii="Calibri" w:cs="Calibri" w:eastAsia="Calibri" w:hAnsi="Calibri"/>
          <w:color w:val="1F2937"/>
          <w:sz w:val="22"/>
          <w:szCs w:val="22"/>
        </w:rPr>
        <w:t xml:space="preserve">Cannot deploy unsupervised in patient homes (must be therapist-led)</w:t>
      </w:r>
    </w:p>
    <w:p>
      <w:pPr>
        <w:pStyle w:val="ListParagraph"/>
        <w:numPr>
          <w:ilvl w:val="0"/>
          <w:numId w:val="2"/>
        </w:numPr>
        <w:spacing w:after="40" w:before="40" w:line="280"/>
      </w:pPr>
      <w:r>
        <w:rPr>
          <w:rFonts w:ascii="Calibri" w:cs="Calibri" w:eastAsia="Calibri" w:hAnsi="Calibri"/>
          <w:color w:val="1F2937"/>
          <w:sz w:val="22"/>
          <w:szCs w:val="22"/>
        </w:rPr>
        <w:t xml:space="preserve">Major hospitals (Mediclinic, Cleveland, NMC) will likely require Phase 2 milestone before signing enterprise contracts</w:t>
      </w:r>
    </w:p>
    <w:p>
      <w:pPr>
        <w:pBdr>
          <w:left w:val="single" w:color="00A685" w:sz="24" w:space="12"/>
        </w:pBdr>
        <w:shd w:fill="F8FAFB" w:val="clear"/>
        <w:spacing w:after="180" w:before="180"/>
      </w:pPr>
      <w:r>
        <w:rPr>
          <w:rFonts w:ascii="Calibri" w:cs="Calibri" w:eastAsia="Calibri" w:hAnsi="Calibri"/>
          <w:i/>
          <w:iCs/>
          <w:color w:val="1F2937"/>
          <w:sz w:val="22"/>
          <w:szCs w:val="22"/>
        </w:rPr>
        <w:t xml:space="preserve">Phase 1 is sufficient for the first 12–18 months of the business and the first ~AED 5–8M in revenue. Begin Phase 2 work in parallel from Day 30 — registration is on a 9–14 month critical path.</w:t>
      </w:r>
    </w:p>
    <w:p>
      <w:pPr>
        <w:pStyle w:val="Heading2"/>
        <w:spacing w:after="120" w:before="240"/>
      </w:pPr>
      <w:r>
        <w:rPr>
          <w:rFonts w:ascii="Calibri" w:cs="Calibri" w:eastAsia="Calibri" w:hAnsi="Calibri"/>
          <w:b/>
          <w:bCs/>
          <w:color w:val="0A2540"/>
          <w:sz w:val="26"/>
          <w:szCs w:val="26"/>
        </w:rPr>
        <w:t xml:space="preserve">Phase 2 — MoHAP Class IIa SaMD Registration (Months 3–12)</w:t>
      </w:r>
    </w:p>
    <w:p>
      <w:pPr>
        <w:pStyle w:val="Heading3"/>
        <w:spacing w:after="100" w:before="200"/>
      </w:pPr>
      <w:r>
        <w:rPr>
          <w:rFonts w:ascii="Calibri" w:cs="Calibri" w:eastAsia="Calibri" w:hAnsi="Calibri"/>
          <w:b/>
          <w:bCs/>
          <w:color w:val="00A685"/>
          <w:sz w:val="23"/>
          <w:szCs w:val="23"/>
        </w:rPr>
        <w:t xml:space="preserve">Positioning: Registered Medical Device</w:t>
      </w:r>
    </w:p>
    <w:p>
      <w:pPr>
        <w:spacing w:after="60" w:before="60" w:line="300"/>
      </w:pPr>
      <w:r>
        <w:rPr>
          <w:rFonts w:ascii="Calibri" w:cs="Calibri" w:eastAsia="Calibri" w:hAnsi="Calibri"/>
          <w:color w:val="1F2937"/>
          <w:sz w:val="22"/>
          <w:szCs w:val="22"/>
        </w:rPr>
        <w:t xml:space="preserve">Full medical device registration with MoHAP under the Federal Medical Device Regulation. This unlocks the unrestricted clinical claims, insurance reimbursement pathway, and enterprise hospital procurement. Filings begin in Phase 1 and complete during Phase 2.</w:t>
      </w:r>
    </w:p>
    <w:p>
      <w:pPr>
        <w:pStyle w:val="Heading3"/>
        <w:spacing w:after="100" w:before="200"/>
      </w:pPr>
      <w:r>
        <w:rPr>
          <w:rFonts w:ascii="Calibri" w:cs="Calibri" w:eastAsia="Calibri" w:hAnsi="Calibri"/>
          <w:b/>
          <w:bCs/>
          <w:color w:val="00A685"/>
          <w:sz w:val="23"/>
          <w:szCs w:val="23"/>
        </w:rPr>
        <w:t xml:space="preserve">Required Submissions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Authorized Representative</w:t>
            </w:r>
          </w:p>
        </w:tc>
        <w:tc>
          <w:tcPr>
            <w:tcW w:type="dxa" w:w="63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Required if foreign manufacturer; if UAE Mainland LLC, the entity itself qualifies. Confirm during pre-submission.</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Quality Management System</w:t>
            </w:r>
          </w:p>
        </w:tc>
        <w:tc>
          <w:tcPr>
            <w:tcW w:type="dxa" w:w="63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ISO 13485:2016 certificate. Use a UAE-accredited body (e.g., DAC) or international (BSI, TÜV, SGS). Audit takes 4–6 months.</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Technical Documentation File</w:t>
            </w:r>
          </w:p>
        </w:tc>
        <w:tc>
          <w:tcPr>
            <w:tcW w:type="dxa" w:w="63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Per UAE/EU MDR Annex II. Includes design history, risk file (ISO 14971), software lifecycle (IEC 62304), usability engineering (IEC 62366-1), labeling, IFU, clinical evaluation. 3–5 months to compile.</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Clinical Evaluation Report</w:t>
            </w:r>
          </w:p>
        </w:tc>
        <w:tc>
          <w:tcPr>
            <w:tcW w:type="dxa" w:w="63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Synthesis of literature + pilot data. For Class IIa with substantial equivalents (XRHealth, MindMaze) we can use the Clinical Evaluation Pathway rather than a full RCT. 2–3 months.</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Cybersecurity Documentation</w:t>
            </w:r>
          </w:p>
        </w:tc>
        <w:tc>
          <w:tcPr>
            <w:tcW w:type="dxa" w:w="63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Per IMDRF Cyber Principles + DHA Health Data Protection. Threat model, SBOM, penetration test report. 6–8 weeks.</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Free Sale Certificate (FSC)</w:t>
            </w:r>
          </w:p>
        </w:tc>
        <w:tc>
          <w:tcPr>
            <w:tcW w:type="dxa" w:w="63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If component manufactured outside UAE. Issued by manufacturing country. Variable timing.</w:t>
            </w:r>
          </w:p>
        </w:tc>
      </w:tr>
      <w:tr>
        <w:tc>
          <w:tcPr>
            <w:tcW w:type="dxa" w:w="30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MoHAP Submission + Review</w:t>
            </w:r>
          </w:p>
        </w:tc>
        <w:tc>
          <w:tcPr>
            <w:tcW w:type="dxa" w:w="63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Online via MoHAP portal. Review cycle 90–120 days first round; expect 2 review rounds. Total 4–8 months.</w:t>
            </w:r>
          </w:p>
        </w:tc>
      </w:tr>
    </w:tbl>
    <w:p>
      <w:pPr>
        <w:spacing w:after="60" w:before="60" w:line="300"/>
      </w:pPr>
      <w:r>
        <w:rPr>
          <w:rFonts w:ascii="Calibri" w:cs="Calibri" w:eastAsia="Calibri" w:hAnsi="Calibri"/>
          <w:color w:val="1F2937"/>
          <w:sz w:val="22"/>
          <w:szCs w:val="22"/>
        </w:rPr>
        <w:t xml:space="preserve"/>
      </w:r>
    </w:p>
    <w:p>
      <w:pPr>
        <w:pStyle w:val="Heading3"/>
        <w:spacing w:after="100" w:before="200"/>
      </w:pPr>
      <w:r>
        <w:rPr>
          <w:rFonts w:ascii="Calibri" w:cs="Calibri" w:eastAsia="Calibri" w:hAnsi="Calibri"/>
          <w:b/>
          <w:bCs/>
          <w:color w:val="00A685"/>
          <w:sz w:val="23"/>
          <w:szCs w:val="23"/>
        </w:rPr>
        <w:t xml:space="preserve">Phase 2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Line Item</w:t>
            </w:r>
          </w:p>
        </w:tc>
        <w:tc>
          <w:tcPr>
            <w:tcW w:type="dxa" w:w="30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Provider Type</w:t>
            </w:r>
          </w:p>
        </w:tc>
        <w:tc>
          <w:tcPr>
            <w:tcW w:type="dxa" w:w="276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Cost (AED)</w:t>
            </w:r>
          </w:p>
        </w:tc>
      </w:tr>
      <w:tr>
        <w:tc>
          <w:tcPr>
            <w:tcW w:type="dxa" w:w="36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ISO 13485 QMS implementation</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External consultant + internal lead</w:t>
            </w:r>
          </w:p>
        </w:tc>
        <w:tc>
          <w:tcPr>
            <w:tcW w:type="dxa" w:w="27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60,000 – 90,000</w:t>
            </w:r>
          </w:p>
        </w:tc>
      </w:tr>
      <w:tr>
        <w:tc>
          <w:tcPr>
            <w:tcW w:type="dxa" w:w="36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ISO 13485 certification audit</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Notified body (BSI/TÜV/SGS)</w:t>
            </w:r>
          </w:p>
        </w:tc>
        <w:tc>
          <w:tcPr>
            <w:tcW w:type="dxa" w:w="27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45,000 – 65,000</w:t>
            </w:r>
          </w:p>
        </w:tc>
      </w:tr>
      <w:tr>
        <w:tc>
          <w:tcPr>
            <w:tcW w:type="dxa" w:w="36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IEC 62304 software lifecycle compliance</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Internal + part-time consultant</w:t>
            </w:r>
          </w:p>
        </w:tc>
        <w:tc>
          <w:tcPr>
            <w:tcW w:type="dxa" w:w="27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30,000 – 50,000</w:t>
            </w:r>
          </w:p>
        </w:tc>
      </w:tr>
      <w:tr>
        <w:tc>
          <w:tcPr>
            <w:tcW w:type="dxa" w:w="36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Clinical Evaluation Report</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Clinical consultant</w:t>
            </w:r>
          </w:p>
        </w:tc>
        <w:tc>
          <w:tcPr>
            <w:tcW w:type="dxa" w:w="27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35,000 – 55,000</w:t>
            </w:r>
          </w:p>
        </w:tc>
      </w:tr>
      <w:tr>
        <w:tc>
          <w:tcPr>
            <w:tcW w:type="dxa" w:w="36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Cybersecurity / penetration test</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Specialized vendor</w:t>
            </w:r>
          </w:p>
        </w:tc>
        <w:tc>
          <w:tcPr>
            <w:tcW w:type="dxa" w:w="27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25,000 – 40,000</w:t>
            </w:r>
          </w:p>
        </w:tc>
      </w:tr>
      <w:tr>
        <w:tc>
          <w:tcPr>
            <w:tcW w:type="dxa" w:w="36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MoHAP filing fees</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MoHAP</w:t>
            </w:r>
          </w:p>
        </w:tc>
        <w:tc>
          <w:tcPr>
            <w:tcW w:type="dxa" w:w="27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8,000 – 15,000</w:t>
            </w:r>
          </w:p>
        </w:tc>
      </w:tr>
      <w:tr>
        <w:tc>
          <w:tcPr>
            <w:tcW w:type="dxa" w:w="36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Regulatory consultant retainer (12 months)</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UAE regulatory affairs firm</w:t>
            </w:r>
          </w:p>
        </w:tc>
        <w:tc>
          <w:tcPr>
            <w:tcW w:type="dxa" w:w="27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60,000 – 90,000</w:t>
            </w:r>
          </w:p>
        </w:tc>
      </w:tr>
      <w:tr>
        <w:tc>
          <w:tcPr>
            <w:tcW w:type="dxa" w:w="36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Contingency (15%)</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w:t>
            </w:r>
          </w:p>
        </w:tc>
        <w:tc>
          <w:tcPr>
            <w:tcW w:type="dxa" w:w="27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35,000 – 60,000</w:t>
            </w:r>
          </w:p>
        </w:tc>
      </w:tr>
      <w:tr>
        <w:tc>
          <w:tcPr>
            <w:tcW w:type="dxa" w:w="36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TOTAL Phase 2</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
            </w:r>
          </w:p>
        </w:tc>
        <w:tc>
          <w:tcPr>
            <w:tcW w:type="dxa" w:w="27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298,000 – 465,000</w:t>
            </w:r>
          </w:p>
        </w:tc>
      </w:tr>
    </w:tbl>
    <w:p>
      <w:pPr>
        <w:spacing w:after="60" w:before="60" w:line="300"/>
      </w:pPr>
      <w:r>
        <w:rPr>
          <w:rFonts w:ascii="Calibri" w:cs="Calibri" w:eastAsia="Calibri" w:hAnsi="Calibri"/>
          <w:color w:val="1F2937"/>
          <w:sz w:val="22"/>
          <w:szCs w:val="22"/>
        </w:rPr>
        <w:t xml:space="preserve"/>
      </w:r>
    </w:p>
    <w:p>
      <w:pPr>
        <w:pStyle w:val="Heading3"/>
        <w:spacing w:after="100" w:before="200"/>
      </w:pPr>
      <w:r>
        <w:rPr>
          <w:rFonts w:ascii="Calibri" w:cs="Calibri" w:eastAsia="Calibri" w:hAnsi="Calibri"/>
          <w:b/>
          <w:bCs/>
          <w:color w:val="00A685"/>
          <w:sz w:val="23"/>
          <w:szCs w:val="23"/>
        </w:rPr>
        <w:t xml:space="preserve">Phase 2 Timeline (Critical Path)</w:t>
      </w:r>
    </w:p>
    <w:p>
      <w:pPr>
        <w:spacing w:after="60" w:before="60" w:line="300"/>
      </w:pPr>
      <w:r>
        <w:rPr>
          <w:rFonts w:ascii="Calibri" w:cs="Calibri" w:eastAsia="Calibri" w:hAnsi="Calibri"/>
          <w:color w:val="1F2937"/>
          <w:sz w:val="22"/>
          <w:szCs w:val="22"/>
        </w:rPr>
        <w:t xml:space="preserve">Below is the realistic 12-month critical path assuming a single full-time regulatory affairs lead and an external consulting partner. Items in bold are blocking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000"/>
        <w:gridCol w:w="1960"/>
      </w:tblGrid>
      <w:tr>
        <w:trPr>
          <w:tblHeader/>
        </w:trPr>
        <w:tc>
          <w:tcPr>
            <w:tcW w:type="dxa" w:w="11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Month</w:t>
            </w:r>
          </w:p>
        </w:tc>
        <w:tc>
          <w:tcPr>
            <w:tcW w:type="dxa" w:w="33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Activity</w:t>
            </w:r>
          </w:p>
        </w:tc>
        <w:tc>
          <w:tcPr>
            <w:tcW w:type="dxa" w:w="30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Deliverable</w:t>
            </w:r>
          </w:p>
        </w:tc>
        <w:tc>
          <w:tcPr>
            <w:tcW w:type="dxa" w:w="196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Owner</w:t>
            </w:r>
          </w:p>
        </w:tc>
      </w:tr>
      <w:tr>
        <w:tc>
          <w:tcPr>
            <w:tcW w:type="dxa" w:w="11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M1–M2</w:t>
            </w:r>
          </w:p>
        </w:tc>
        <w:tc>
          <w:tcPr>
            <w:tcW w:type="dxa" w:w="3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Hire regulatory consultant; MoHAP pre-submission meeting</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Classification opinion in writing</w:t>
            </w:r>
          </w:p>
        </w:tc>
        <w:tc>
          <w:tcPr>
            <w:tcW w:type="dxa" w:w="19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Founder + Consultant</w:t>
            </w:r>
          </w:p>
        </w:tc>
      </w:tr>
      <w:tr>
        <w:tc>
          <w:tcPr>
            <w:tcW w:type="dxa" w:w="11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M2–M3</w:t>
            </w:r>
          </w:p>
        </w:tc>
        <w:tc>
          <w:tcPr>
            <w:tcW w:type="dxa" w:w="3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QMS gap assessment; begin ISO 13485 implementation</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QMS documentation drafted</w:t>
            </w:r>
          </w:p>
        </w:tc>
        <w:tc>
          <w:tcPr>
            <w:tcW w:type="dxa" w:w="19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Consultant</w:t>
            </w:r>
          </w:p>
        </w:tc>
      </w:tr>
      <w:tr>
        <w:tc>
          <w:tcPr>
            <w:tcW w:type="dxa" w:w="11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M3–M5</w:t>
            </w:r>
          </w:p>
        </w:tc>
        <w:tc>
          <w:tcPr>
            <w:tcW w:type="dxa" w:w="3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Software lifecycle (IEC 62304) artifacts; risk file (ISO 14971)</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Design history file complete</w:t>
            </w:r>
          </w:p>
        </w:tc>
        <w:tc>
          <w:tcPr>
            <w:tcW w:type="dxa" w:w="19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CTO</w:t>
            </w:r>
          </w:p>
        </w:tc>
      </w:tr>
      <w:tr>
        <w:tc>
          <w:tcPr>
            <w:tcW w:type="dxa" w:w="11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M4–M6</w:t>
            </w:r>
          </w:p>
        </w:tc>
        <w:tc>
          <w:tcPr>
            <w:tcW w:type="dxa" w:w="3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Usability engineering studies (IEC 62366-1); clinical evaluation drafting</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Usability report; CER v1</w:t>
            </w:r>
          </w:p>
        </w:tc>
        <w:tc>
          <w:tcPr>
            <w:tcW w:type="dxa" w:w="19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Clinical lead</w:t>
            </w:r>
          </w:p>
        </w:tc>
      </w:tr>
      <w:tr>
        <w:tc>
          <w:tcPr>
            <w:tcW w:type="dxa" w:w="11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M5–M7</w:t>
            </w:r>
          </w:p>
        </w:tc>
        <w:tc>
          <w:tcPr>
            <w:tcW w:type="dxa" w:w="3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ISO 13485 internal audit; corrective actions; book certification audit</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Certification audit scheduled</w:t>
            </w:r>
          </w:p>
        </w:tc>
        <w:tc>
          <w:tcPr>
            <w:tcW w:type="dxa" w:w="19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Consultant</w:t>
            </w:r>
          </w:p>
        </w:tc>
      </w:tr>
      <w:tr>
        <w:tc>
          <w:tcPr>
            <w:tcW w:type="dxa" w:w="11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M6–M8</w:t>
            </w:r>
          </w:p>
        </w:tc>
        <w:tc>
          <w:tcPr>
            <w:tcW w:type="dxa" w:w="3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External certification audit</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ISO 13485 certificate</w:t>
            </w:r>
          </w:p>
        </w:tc>
        <w:tc>
          <w:tcPr>
            <w:tcW w:type="dxa" w:w="19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Notified body</w:t>
            </w:r>
          </w:p>
        </w:tc>
      </w:tr>
      <w:tr>
        <w:tc>
          <w:tcPr>
            <w:tcW w:type="dxa" w:w="11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M7–M9</w:t>
            </w:r>
          </w:p>
        </w:tc>
        <w:tc>
          <w:tcPr>
            <w:tcW w:type="dxa" w:w="3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Cybersecurity testing and documentation; final TDF assembly</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Technical Documentation File complete</w:t>
            </w:r>
          </w:p>
        </w:tc>
        <w:tc>
          <w:tcPr>
            <w:tcW w:type="dxa" w:w="19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CTO + Vendor</w:t>
            </w:r>
          </w:p>
        </w:tc>
      </w:tr>
      <w:tr>
        <w:tc>
          <w:tcPr>
            <w:tcW w:type="dxa" w:w="11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M9–M10</w:t>
            </w:r>
          </w:p>
        </w:tc>
        <w:tc>
          <w:tcPr>
            <w:tcW w:type="dxa" w:w="3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MoHAP submission via portal</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Acknowledgment + assigned reviewer</w:t>
            </w:r>
          </w:p>
        </w:tc>
        <w:tc>
          <w:tcPr>
            <w:tcW w:type="dxa" w:w="19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Consultant</w:t>
            </w:r>
          </w:p>
        </w:tc>
      </w:tr>
      <w:tr>
        <w:tc>
          <w:tcPr>
            <w:tcW w:type="dxa" w:w="11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M10–M13</w:t>
            </w:r>
          </w:p>
        </w:tc>
        <w:tc>
          <w:tcPr>
            <w:tcW w:type="dxa" w:w="3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MoHAP review rounds; respond to deficiency letters</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Approval letter</w:t>
            </w:r>
          </w:p>
        </w:tc>
        <w:tc>
          <w:tcPr>
            <w:tcW w:type="dxa" w:w="19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Consultant</w:t>
            </w:r>
          </w:p>
        </w:tc>
      </w:tr>
      <w:tr>
        <w:tc>
          <w:tcPr>
            <w:tcW w:type="dxa" w:w="11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M13–M14</w:t>
            </w:r>
          </w:p>
        </w:tc>
        <w:tc>
          <w:tcPr>
            <w:tcW w:type="dxa" w:w="3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MDRC issued; product re-labeled with registration number</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Marketable as registered device</w:t>
            </w:r>
          </w:p>
        </w:tc>
        <w:tc>
          <w:tcPr>
            <w:tcW w:type="dxa" w:w="19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Operations</w:t>
            </w:r>
          </w:p>
        </w:tc>
      </w:tr>
    </w:tbl>
    <w:p>
      <w:pPr>
        <w:spacing w:after="60" w:before="60" w:line="300"/>
      </w:pPr>
      <w:r>
        <w:rPr>
          <w:rFonts w:ascii="Calibri" w:cs="Calibri" w:eastAsia="Calibri" w:hAnsi="Calibri"/>
          <w:color w:val="1F2937"/>
          <w:sz w:val="22"/>
          <w:szCs w:val="22"/>
        </w:rPr>
        <w:t xml:space="preserve"/>
      </w:r>
    </w:p>
    <w:p>
      <w:pPr>
        <w:pStyle w:val="Heading2"/>
        <w:spacing w:after="120" w:before="240"/>
      </w:pPr>
      <w:r>
        <w:rPr>
          <w:rFonts w:ascii="Calibri" w:cs="Calibri" w:eastAsia="Calibri" w:hAnsi="Calibri"/>
          <w:b/>
          <w:bCs/>
          <w:color w:val="0A2540"/>
          <w:sz w:val="26"/>
          <w:szCs w:val="26"/>
        </w:rPr>
        <w:t xml:space="preserve">Phase 3 — GCC Expansion: SFDA, MoH-KW, MoH-Bahrain (Months 12–24)</w:t>
      </w:r>
    </w:p>
    <w:p>
      <w:pPr>
        <w:pStyle w:val="Heading3"/>
        <w:spacing w:after="100" w:before="200"/>
      </w:pPr>
      <w:r>
        <w:rPr>
          <w:rFonts w:ascii="Calibri" w:cs="Calibri" w:eastAsia="Calibri" w:hAnsi="Calibri"/>
          <w:b/>
          <w:bCs/>
          <w:color w:val="00A685"/>
          <w:sz w:val="23"/>
          <w:szCs w:val="23"/>
        </w:rPr>
        <w:t xml:space="preserve">Positioning: Multi-Country Registered Device</w:t>
      </w:r>
    </w:p>
    <w:p>
      <w:pPr>
        <w:spacing w:after="60" w:before="60" w:line="300"/>
      </w:pPr>
      <w:r>
        <w:rPr>
          <w:rFonts w:ascii="Calibri" w:cs="Calibri" w:eastAsia="Calibri" w:hAnsi="Calibri"/>
          <w:color w:val="1F2937"/>
          <w:sz w:val="22"/>
          <w:szCs w:val="22"/>
        </w:rPr>
        <w:t xml:space="preserve">Once MoHAP MDRC is in hand, expansion to KSA (Saudi Food and Drug Authority), Kuwait (MoH-KW), Bahrain, Qatar, and Oman becomes substantially faster. The MoHAP registration is recognized as a substantial equivalence reference under the GCC Health Council reciprocity arrangement, reducing each subsequent country to 4–6 months instead of 12+.</w:t>
      </w:r>
    </w:p>
    <w:p>
      <w:pPr>
        <w:pStyle w:val="Heading3"/>
        <w:spacing w:after="100" w:before="200"/>
      </w:pPr>
      <w:r>
        <w:rPr>
          <w:rFonts w:ascii="Calibri" w:cs="Calibri" w:eastAsia="Calibri" w:hAnsi="Calibri"/>
          <w:b/>
          <w:bCs/>
          <w:color w:val="00A685"/>
          <w:sz w:val="23"/>
          <w:szCs w:val="23"/>
        </w:rPr>
        <w:t xml:space="preserve">KSA (SFDA) — Highest Priority</w:t>
      </w:r>
    </w:p>
    <w:p>
      <w:pPr>
        <w:spacing w:after="60" w:before="60" w:line="300"/>
      </w:pPr>
      <w:r>
        <w:rPr>
          <w:rFonts w:ascii="Calibri" w:cs="Calibri" w:eastAsia="Calibri" w:hAnsi="Calibri"/>
          <w:color w:val="1F2937"/>
          <w:sz w:val="22"/>
          <w:szCs w:val="22"/>
        </w:rPr>
        <w:t xml:space="preserve">Saudi Arabia is the largest GCC market by population (35M) and healthcare spend. SFDA classifies SaMD on the same IMDRF framework but requires a local Saudi authorized representative (AR). Registration cost: SAR 25K–45K filing + SAR 80K–150K consultant + AR retainer (~SAR 40K/year). Timeline: 6–9 months from filing once MoHAP is in hand. Projected entry: Q1 2027.</w:t>
      </w:r>
    </w:p>
    <w:p>
      <w:pPr>
        <w:pStyle w:val="Heading3"/>
        <w:spacing w:after="100" w:before="200"/>
      </w:pPr>
      <w:r>
        <w:rPr>
          <w:rFonts w:ascii="Calibri" w:cs="Calibri" w:eastAsia="Calibri" w:hAnsi="Calibri"/>
          <w:b/>
          <w:bCs/>
          <w:color w:val="00A685"/>
          <w:sz w:val="23"/>
          <w:szCs w:val="23"/>
        </w:rPr>
        <w:t xml:space="preserve">Kuwait, Bahrain, Qatar, Oman</w:t>
      </w:r>
    </w:p>
    <w:p>
      <w:pPr>
        <w:spacing w:after="60" w:before="60" w:line="300"/>
      </w:pPr>
      <w:r>
        <w:rPr>
          <w:rFonts w:ascii="Calibri" w:cs="Calibri" w:eastAsia="Calibri" w:hAnsi="Calibri"/>
          <w:color w:val="1F2937"/>
          <w:sz w:val="22"/>
          <w:szCs w:val="22"/>
        </w:rPr>
        <w:t xml:space="preserve">Each follows similar frameworks. Kuwait MoH and Bahrain NHRA both accept GCC-Council-recognized registrations. Qatar (MoPH) requires its own filing but has a fast-track for digitally-native devices already registered with a GCC peer authority. Oman MoH is the smallest market and typically last. Combined cost for the four: AED 250K–350K. Combined timeline: 12–18 months in parallel.</w:t>
      </w:r>
    </w:p>
    <w:p>
      <w:pPr>
        <w:pBdr>
          <w:left w:val="single" w:color="E55050" w:sz="24" w:space="12"/>
        </w:pBdr>
        <w:shd w:fill="F8FAFB" w:val="clear"/>
        <w:spacing w:after="180" w:before="180"/>
      </w:pPr>
      <w:r>
        <w:rPr>
          <w:rFonts w:ascii="Calibri" w:cs="Calibri" w:eastAsia="Calibri" w:hAnsi="Calibri"/>
          <w:i/>
          <w:iCs/>
          <w:color w:val="1F2937"/>
          <w:sz w:val="22"/>
          <w:szCs w:val="22"/>
        </w:rPr>
        <w:t xml:space="preserve">Strategic note: KSA is the prize. The Saudi Vision 2030 health agenda, NEOM/The Line allocations, and the MoH transformation program create the largest digital therapeutics opportunity in MENA. Plan SFDA submission to begin within 30 days of MoHAP MDRC issuance.</w:t>
      </w:r>
    </w:p>
    <w:p>
      <w:pPr>
        <w:pStyle w:val="Heading1"/>
        <w:spacing w:after="180" w:before="360"/>
      </w:pPr>
      <w:r>
        <w:rPr>
          <w:rFonts w:ascii="Calibri" w:cs="Calibri" w:eastAsia="Calibri" w:hAnsi="Calibri"/>
          <w:b/>
          <w:bCs/>
          <w:color w:val="0A2540"/>
          <w:sz w:val="32"/>
          <w:szCs w:val="32"/>
        </w:rPr>
        <w:t xml:space="preserve">Section 4 — Data Privacy &amp; Cybersecurity Compliance</w:t>
      </w:r>
    </w:p>
    <w:p>
      <w:pPr>
        <w:pStyle w:val="Heading2"/>
        <w:spacing w:after="120" w:before="240"/>
      </w:pPr>
      <w:r>
        <w:rPr>
          <w:rFonts w:ascii="Calibri" w:cs="Calibri" w:eastAsia="Calibri" w:hAnsi="Calibri"/>
          <w:b/>
          <w:bCs/>
          <w:color w:val="0A2540"/>
          <w:sz w:val="26"/>
          <w:szCs w:val="26"/>
        </w:rPr>
        <w:t xml:space="preserve">4.1 Applicable Data Protection Frameworks</w:t>
      </w:r>
    </w:p>
    <w:p>
      <w:pPr>
        <w:spacing w:after="60" w:before="60" w:line="300"/>
      </w:pPr>
      <w:r>
        <w:rPr>
          <w:rFonts w:ascii="Calibri" w:cs="Calibri" w:eastAsia="Calibri" w:hAnsi="Calibri"/>
          <w:color w:val="1F2937"/>
          <w:sz w:val="22"/>
          <w:szCs w:val="22"/>
        </w:rPr>
        <w:t xml:space="preserve">CUVR must comply with multiple overlapping data privacy regimes. The most stringent rule applies in each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Regulation</w:t>
            </w:r>
          </w:p>
        </w:tc>
        <w:tc>
          <w:tcPr>
            <w:tcW w:type="dxa" w:w="24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Scope</w:t>
            </w:r>
          </w:p>
        </w:tc>
        <w:tc>
          <w:tcPr>
            <w:tcW w:type="dxa" w:w="426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Key Requirements for CUVR</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UAE PDPL (Federal Decree Law 45/2021)</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All personal data processing in UAE</w:t>
            </w:r>
          </w:p>
        </w:tc>
        <w:tc>
          <w:tcPr>
            <w:tcW w:type="dxa" w:w="42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Consent; lawful basis; data subject rights; DPO; breach notification within 72h</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DHA Health Data Protection Regulation 2022</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Health data in Dubai</w:t>
            </w:r>
          </w:p>
        </w:tc>
        <w:tc>
          <w:tcPr>
            <w:tcW w:type="dxa" w:w="42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Data localization in UAE; explicit consent; DHA-approved data processors only; encryption in transit + at rest</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ADHICS (Abu Dhabi)</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Health data in Abu Dhabi</w:t>
            </w:r>
          </w:p>
        </w:tc>
        <w:tc>
          <w:tcPr>
            <w:tcW w:type="dxa" w:w="42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ADHICS standard certification; similar to ISO 27001 + healthcare overlay</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Federal Law 2 of 2019 (Healthcare ICT)</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Federal — health information technology</w:t>
            </w:r>
          </w:p>
        </w:tc>
        <w:tc>
          <w:tcPr>
            <w:tcW w:type="dxa" w:w="42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Patient data must remain within UAE borders for processing; foreign cloud requires DOH/MOHAP approval</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NESA / SIA Information Assurance Standards</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Critical infrastructure (incl. healthcare)</w:t>
            </w:r>
          </w:p>
        </w:tc>
        <w:tc>
          <w:tcPr>
            <w:tcW w:type="dxa" w:w="42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Tiered controls; quarterly audits for higher tiers</w:t>
            </w:r>
          </w:p>
        </w:tc>
      </w:tr>
    </w:tbl>
    <w:p>
      <w:pPr>
        <w:spacing w:after="60" w:before="60" w:line="300"/>
      </w:pPr>
      <w:r>
        <w:rPr>
          <w:rFonts w:ascii="Calibri" w:cs="Calibri" w:eastAsia="Calibri" w:hAnsi="Calibri"/>
          <w:color w:val="1F2937"/>
          <w:sz w:val="22"/>
          <w:szCs w:val="22"/>
        </w:rPr>
        <w:t xml:space="preserve"/>
      </w:r>
    </w:p>
    <w:p>
      <w:pPr>
        <w:pStyle w:val="Heading2"/>
        <w:spacing w:after="120" w:before="240"/>
      </w:pPr>
      <w:r>
        <w:rPr>
          <w:rFonts w:ascii="Calibri" w:cs="Calibri" w:eastAsia="Calibri" w:hAnsi="Calibri"/>
          <w:b/>
          <w:bCs/>
          <w:color w:val="0A2540"/>
          <w:sz w:val="26"/>
          <w:szCs w:val="26"/>
        </w:rPr>
        <w:t xml:space="preserve">4.2 The Data Localization Question</w:t>
      </w:r>
    </w:p>
    <w:p>
      <w:pPr>
        <w:spacing w:after="60" w:before="60" w:line="300"/>
      </w:pPr>
      <w:r>
        <w:rPr>
          <w:rFonts w:ascii="Calibri" w:cs="Calibri" w:eastAsia="Calibri" w:hAnsi="Calibri"/>
          <w:color w:val="1F2937"/>
          <w:sz w:val="22"/>
          <w:szCs w:val="22"/>
        </w:rPr>
        <w:t xml:space="preserve">Federal Law 2 of 2019 and the DHA Health Data Protection Regulation 2022 are unambiguous: patient health data must be stored and processed within UAE borders unless the data subject provides specific consent and the destination jurisdiction is approved. In practice, this means CUVR must run on UAE-region cloud infrastructure for any clinical deployment. Three providers offer compliant UAE regions:</w:t>
      </w:r>
    </w:p>
    <w:p>
      <w:pPr>
        <w:pStyle w:val="ListParagraph"/>
        <w:numPr>
          <w:ilvl w:val="0"/>
          <w:numId w:val="2"/>
        </w:numPr>
        <w:spacing w:after="40" w:before="40" w:line="280"/>
      </w:pPr>
      <w:r>
        <w:rPr>
          <w:rFonts w:ascii="Calibri" w:cs="Calibri" w:eastAsia="Calibri" w:hAnsi="Calibri"/>
          <w:b/>
          <w:bCs/>
          <w:i w:val="false"/>
          <w:iCs w:val="false"/>
          <w:color w:val="1F2937"/>
          <w:sz w:val="22"/>
          <w:szCs w:val="22"/>
        </w:rPr>
        <w:t xml:space="preserve">AWS Middle East (UAE)</w:t>
      </w:r>
      <w:r>
        <w:rPr>
          <w:rFonts w:ascii="Calibri" w:cs="Calibri" w:eastAsia="Calibri" w:hAnsi="Calibri"/>
          <w:b w:val="false"/>
          <w:bCs w:val="false"/>
          <w:i w:val="false"/>
          <w:iCs w:val="false"/>
          <w:color w:val="1F2937"/>
          <w:sz w:val="22"/>
          <w:szCs w:val="22"/>
        </w:rPr>
        <w:t xml:space="preserve"> — Dubai region (me-central-1), launched 2022. Healthcare workloads supported. Most mature ecosystem.</w:t>
      </w:r>
    </w:p>
    <w:p>
      <w:pPr>
        <w:pStyle w:val="ListParagraph"/>
        <w:numPr>
          <w:ilvl w:val="0"/>
          <w:numId w:val="2"/>
        </w:numPr>
        <w:spacing w:after="40" w:before="40" w:line="280"/>
      </w:pPr>
      <w:r>
        <w:rPr>
          <w:rFonts w:ascii="Calibri" w:cs="Calibri" w:eastAsia="Calibri" w:hAnsi="Calibri"/>
          <w:b/>
          <w:bCs/>
          <w:i w:val="false"/>
          <w:iCs w:val="false"/>
          <w:color w:val="1F2937"/>
          <w:sz w:val="22"/>
          <w:szCs w:val="22"/>
        </w:rPr>
        <w:t xml:space="preserve">Microsoft Azure UAE</w:t>
      </w:r>
      <w:r>
        <w:rPr>
          <w:rFonts w:ascii="Calibri" w:cs="Calibri" w:eastAsia="Calibri" w:hAnsi="Calibri"/>
          <w:b w:val="false"/>
          <w:bCs w:val="false"/>
          <w:i w:val="false"/>
          <w:iCs w:val="false"/>
          <w:color w:val="1F2937"/>
          <w:sz w:val="22"/>
          <w:szCs w:val="22"/>
        </w:rPr>
        <w:t xml:space="preserve"> — UAE North (Dubai) and UAE Central (Abu Dhabi) regions. Strong Microsoft 365 / Teams integration for clinical workflows.</w:t>
      </w:r>
    </w:p>
    <w:p>
      <w:pPr>
        <w:pStyle w:val="ListParagraph"/>
        <w:numPr>
          <w:ilvl w:val="0"/>
          <w:numId w:val="2"/>
        </w:numPr>
        <w:spacing w:after="40" w:before="40" w:line="280"/>
      </w:pPr>
      <w:r>
        <w:rPr>
          <w:rFonts w:ascii="Calibri" w:cs="Calibri" w:eastAsia="Calibri" w:hAnsi="Calibri"/>
          <w:b/>
          <w:bCs/>
          <w:i w:val="false"/>
          <w:iCs w:val="false"/>
          <w:color w:val="1F2937"/>
          <w:sz w:val="22"/>
          <w:szCs w:val="22"/>
        </w:rPr>
        <w:t xml:space="preserve">Google Cloud Doha (proxy)</w:t>
      </w:r>
      <w:r>
        <w:rPr>
          <w:rFonts w:ascii="Calibri" w:cs="Calibri" w:eastAsia="Calibri" w:hAnsi="Calibri"/>
          <w:b w:val="false"/>
          <w:bCs w:val="false"/>
          <w:i w:val="false"/>
          <w:iCs w:val="false"/>
          <w:color w:val="1F2937"/>
          <w:sz w:val="22"/>
          <w:szCs w:val="22"/>
        </w:rPr>
        <w:t xml:space="preserve"> — Doha region serves UAE workloads but is technically outside UAE; adds friction. Not recommended.</w:t>
      </w:r>
    </w:p>
    <w:p>
      <w:pPr>
        <w:spacing w:after="60" w:before="60" w:line="300"/>
      </w:pPr>
      <w:r>
        <w:rPr>
          <w:rFonts w:ascii="Calibri" w:cs="Calibri" w:eastAsia="Calibri" w:hAnsi="Calibri"/>
          <w:color w:val="1F2937"/>
          <w:sz w:val="22"/>
          <w:szCs w:val="22"/>
        </w:rPr>
        <w:t xml:space="preserve"/>
      </w:r>
    </w:p>
    <w:p>
      <w:pPr>
        <w:spacing w:after="60" w:before="60" w:line="300"/>
      </w:pPr>
      <w:r>
        <w:rPr>
          <w:rFonts w:ascii="Calibri" w:cs="Calibri" w:eastAsia="Calibri" w:hAnsi="Calibri"/>
          <w:color w:val="1F2937"/>
          <w:sz w:val="22"/>
          <w:szCs w:val="22"/>
        </w:rPr>
        <w:t xml:space="preserve">Recommendation: AWS me-central-1 as primary, Azure UAE North as DR/secondary. Both are HIPAA-attested and offer DHA/MoHAP-compatible BAAs.</w:t>
      </w:r>
    </w:p>
    <w:p>
      <w:pPr>
        <w:pStyle w:val="Heading2"/>
        <w:spacing w:after="120" w:before="240"/>
      </w:pPr>
      <w:r>
        <w:rPr>
          <w:rFonts w:ascii="Calibri" w:cs="Calibri" w:eastAsia="Calibri" w:hAnsi="Calibri"/>
          <w:b/>
          <w:bCs/>
          <w:color w:val="0A2540"/>
          <w:sz w:val="26"/>
          <w:szCs w:val="26"/>
        </w:rPr>
        <w:t xml:space="preserve">4.3 Cybersecurity Controls</w:t>
      </w:r>
    </w:p>
    <w:p>
      <w:pPr>
        <w:spacing w:after="60" w:before="60" w:line="300"/>
      </w:pPr>
      <w:r>
        <w:rPr>
          <w:rFonts w:ascii="Calibri" w:cs="Calibri" w:eastAsia="Calibri" w:hAnsi="Calibri"/>
          <w:color w:val="1F2937"/>
          <w:sz w:val="22"/>
          <w:szCs w:val="22"/>
        </w:rPr>
        <w:t xml:space="preserve">The minimum security baseline for a Class IIa SaMD with patient data in the UAE is substantially more rigorous than typical SaaS. Required controls include:</w:t>
      </w:r>
    </w:p>
    <w:p>
      <w:pPr>
        <w:pStyle w:val="ListParagraph"/>
        <w:numPr>
          <w:ilvl w:val="0"/>
          <w:numId w:val="2"/>
        </w:numPr>
        <w:spacing w:after="40" w:before="40" w:line="280"/>
      </w:pPr>
      <w:r>
        <w:rPr>
          <w:rFonts w:ascii="Calibri" w:cs="Calibri" w:eastAsia="Calibri" w:hAnsi="Calibri"/>
          <w:color w:val="1F2937"/>
          <w:sz w:val="22"/>
          <w:szCs w:val="22"/>
        </w:rPr>
        <w:t xml:space="preserve">Encryption: TLS 1.3 in transit, AES-256 at rest, with customer-managed keys for hospital deployments</w:t>
      </w:r>
    </w:p>
    <w:p>
      <w:pPr>
        <w:pStyle w:val="ListParagraph"/>
        <w:numPr>
          <w:ilvl w:val="0"/>
          <w:numId w:val="2"/>
        </w:numPr>
        <w:spacing w:after="40" w:before="40" w:line="280"/>
      </w:pPr>
      <w:r>
        <w:rPr>
          <w:rFonts w:ascii="Calibri" w:cs="Calibri" w:eastAsia="Calibri" w:hAnsi="Calibri"/>
          <w:color w:val="1F2937"/>
          <w:sz w:val="22"/>
          <w:szCs w:val="22"/>
        </w:rPr>
        <w:t xml:space="preserve">Authentication: SAML 2.0 or OIDC SSO; MFA mandatory for clinical users; role-based access control</w:t>
      </w:r>
    </w:p>
    <w:p>
      <w:pPr>
        <w:pStyle w:val="ListParagraph"/>
        <w:numPr>
          <w:ilvl w:val="0"/>
          <w:numId w:val="2"/>
        </w:numPr>
        <w:spacing w:after="40" w:before="40" w:line="280"/>
      </w:pPr>
      <w:r>
        <w:rPr>
          <w:rFonts w:ascii="Calibri" w:cs="Calibri" w:eastAsia="Calibri" w:hAnsi="Calibri"/>
          <w:color w:val="1F2937"/>
          <w:sz w:val="22"/>
          <w:szCs w:val="22"/>
        </w:rPr>
        <w:t xml:space="preserve">Audit logging: immutable audit trail of all PHI access, retained 7 years (UAE health records minimum)</w:t>
      </w:r>
    </w:p>
    <w:p>
      <w:pPr>
        <w:pStyle w:val="ListParagraph"/>
        <w:numPr>
          <w:ilvl w:val="0"/>
          <w:numId w:val="2"/>
        </w:numPr>
        <w:spacing w:after="40" w:before="40" w:line="280"/>
      </w:pPr>
      <w:r>
        <w:rPr>
          <w:rFonts w:ascii="Calibri" w:cs="Calibri" w:eastAsia="Calibri" w:hAnsi="Calibri"/>
          <w:color w:val="1F2937"/>
          <w:sz w:val="22"/>
          <w:szCs w:val="22"/>
        </w:rPr>
        <w:t xml:space="preserve">Vulnerability management: monthly authenticated scans; quarterly external penetration tests; SBOM published</w:t>
      </w:r>
    </w:p>
    <w:p>
      <w:pPr>
        <w:pStyle w:val="ListParagraph"/>
        <w:numPr>
          <w:ilvl w:val="0"/>
          <w:numId w:val="2"/>
        </w:numPr>
        <w:spacing w:after="40" w:before="40" w:line="280"/>
      </w:pPr>
      <w:r>
        <w:rPr>
          <w:rFonts w:ascii="Calibri" w:cs="Calibri" w:eastAsia="Calibri" w:hAnsi="Calibri"/>
          <w:color w:val="1F2937"/>
          <w:sz w:val="22"/>
          <w:szCs w:val="22"/>
        </w:rPr>
        <w:t xml:space="preserve">Incident response: 72-hour breach notification (UAE PDPL); documented IR plan tested annually</w:t>
      </w:r>
    </w:p>
    <w:p>
      <w:pPr>
        <w:pStyle w:val="ListParagraph"/>
        <w:numPr>
          <w:ilvl w:val="0"/>
          <w:numId w:val="2"/>
        </w:numPr>
        <w:spacing w:after="40" w:before="40" w:line="280"/>
      </w:pPr>
      <w:r>
        <w:rPr>
          <w:rFonts w:ascii="Calibri" w:cs="Calibri" w:eastAsia="Calibri" w:hAnsi="Calibri"/>
          <w:color w:val="1F2937"/>
          <w:sz w:val="22"/>
          <w:szCs w:val="22"/>
        </w:rPr>
        <w:t xml:space="preserve">Backup &amp; recovery: RPO 24h, RTO 4h, with quarterly DR testing</w:t>
      </w:r>
    </w:p>
    <w:p>
      <w:pPr>
        <w:pStyle w:val="ListParagraph"/>
        <w:numPr>
          <w:ilvl w:val="0"/>
          <w:numId w:val="2"/>
        </w:numPr>
        <w:spacing w:after="40" w:before="40" w:line="280"/>
      </w:pPr>
      <w:r>
        <w:rPr>
          <w:rFonts w:ascii="Calibri" w:cs="Calibri" w:eastAsia="Calibri" w:hAnsi="Calibri"/>
          <w:color w:val="1F2937"/>
          <w:sz w:val="22"/>
          <w:szCs w:val="22"/>
        </w:rPr>
        <w:t xml:space="preserve">Vendor risk: ISO 27001 or SOC 2 Type II for all subprocessors</w:t>
      </w:r>
    </w:p>
    <w:p>
      <w:pPr>
        <w:pStyle w:val="Heading2"/>
        <w:spacing w:after="120" w:before="240"/>
      </w:pPr>
      <w:r>
        <w:rPr>
          <w:rFonts w:ascii="Calibri" w:cs="Calibri" w:eastAsia="Calibri" w:hAnsi="Calibri"/>
          <w:b/>
          <w:bCs/>
          <w:color w:val="0A2540"/>
          <w:sz w:val="26"/>
          <w:szCs w:val="26"/>
        </w:rPr>
        <w:t xml:space="preserve">4.4 Recommended Certifications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Certification</w:t>
            </w:r>
          </w:p>
        </w:tc>
        <w:tc>
          <w:tcPr>
            <w:tcW w:type="dxa" w:w="24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When</w:t>
            </w:r>
          </w:p>
        </w:tc>
        <w:tc>
          <w:tcPr>
            <w:tcW w:type="dxa" w:w="24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Cost (AED)</w:t>
            </w:r>
          </w:p>
        </w:tc>
        <w:tc>
          <w:tcPr>
            <w:tcW w:type="dxa" w:w="236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Why</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ISO 27001:2022</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Phase 1 (Months 4–8)</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120,000 – 180,000</w:t>
            </w:r>
          </w:p>
        </w:tc>
        <w:tc>
          <w:tcPr>
            <w:tcW w:type="dxa" w:w="23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Hospital procurement gate; investor due diligence</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ISO 13485:2016</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Phase 2 (Months 2–8)</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Included in Phase 2 budget above</w:t>
            </w:r>
          </w:p>
        </w:tc>
        <w:tc>
          <w:tcPr>
            <w:tcW w:type="dxa" w:w="23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Required for MoHAP MDRC</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SOC 2 Type II</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Phase 2 (Months 6–18)</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100,000 – 150,000</w:t>
            </w:r>
          </w:p>
        </w:tc>
        <w:tc>
          <w:tcPr>
            <w:tcW w:type="dxa" w:w="23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Required for KSA hospital procurement; US/EU expansion</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HIPAA attestation</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Phase 3 (when entering US)</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40,000 – 60,000</w:t>
            </w:r>
          </w:p>
        </w:tc>
        <w:tc>
          <w:tcPr>
            <w:tcW w:type="dxa" w:w="23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US market entry</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ADHICS</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When entering Abu Dhabi</w:t>
            </w:r>
          </w:p>
        </w:tc>
        <w:tc>
          <w:tcPr>
            <w:tcW w:type="dxa" w:w="2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60,000 – 90,000</w:t>
            </w:r>
          </w:p>
        </w:tc>
        <w:tc>
          <w:tcPr>
            <w:tcW w:type="dxa" w:w="23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Required for DOH-Abu Dhabi clinical deployment</w:t>
            </w:r>
          </w:p>
        </w:tc>
      </w:tr>
    </w:tbl>
    <w:p>
      <w:pPr>
        <w:spacing w:after="60" w:before="60" w:line="300"/>
      </w:pPr>
      <w:r>
        <w:rPr>
          <w:rFonts w:ascii="Calibri" w:cs="Calibri" w:eastAsia="Calibri" w:hAnsi="Calibri"/>
          <w:color w:val="1F2937"/>
          <w:sz w:val="22"/>
          <w:szCs w:val="22"/>
        </w:rPr>
        <w:t xml:space="preserve"/>
      </w:r>
    </w:p>
    <w:p>
      <w:pPr>
        <w:pStyle w:val="Heading1"/>
        <w:spacing w:after="180" w:before="360"/>
      </w:pPr>
      <w:r>
        <w:rPr>
          <w:rFonts w:ascii="Calibri" w:cs="Calibri" w:eastAsia="Calibri" w:hAnsi="Calibri"/>
          <w:b/>
          <w:bCs/>
          <w:color w:val="0A2540"/>
          <w:sz w:val="32"/>
          <w:szCs w:val="32"/>
        </w:rPr>
        <w:t xml:space="preserve">Section 5 — Clinical Evaluation Strategy</w:t>
      </w:r>
    </w:p>
    <w:p>
      <w:pPr>
        <w:pStyle w:val="Heading2"/>
        <w:spacing w:after="120" w:before="240"/>
      </w:pPr>
      <w:r>
        <w:rPr>
          <w:rFonts w:ascii="Calibri" w:cs="Calibri" w:eastAsia="Calibri" w:hAnsi="Calibri"/>
          <w:b/>
          <w:bCs/>
          <w:color w:val="0A2540"/>
          <w:sz w:val="26"/>
          <w:szCs w:val="26"/>
        </w:rPr>
        <w:t xml:space="preserve">5.1 The Clinical Evidence Bar</w:t>
      </w:r>
    </w:p>
    <w:p>
      <w:pPr>
        <w:spacing w:after="60" w:before="60" w:line="300"/>
      </w:pPr>
      <w:r>
        <w:rPr>
          <w:rFonts w:ascii="Calibri" w:cs="Calibri" w:eastAsia="Calibri" w:hAnsi="Calibri"/>
          <w:color w:val="1F2937"/>
          <w:sz w:val="22"/>
          <w:szCs w:val="22"/>
        </w:rPr>
        <w:t xml:space="preserve">Class IIa SaMD does not require a full randomized controlled trial in most cases, but does require a Clinical Evaluation Report (CER) demonstrating safety and performance. Three pathways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1500"/>
        <w:gridCol w:w="2160"/>
      </w:tblGrid>
      <w:tr>
        <w:trPr>
          <w:tblHeader/>
        </w:trPr>
        <w:tc>
          <w:tcPr>
            <w:tcW w:type="dxa" w:w="27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Pathway</w:t>
            </w:r>
          </w:p>
        </w:tc>
        <w:tc>
          <w:tcPr>
            <w:tcW w:type="dxa" w:w="30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When to Use</w:t>
            </w:r>
          </w:p>
        </w:tc>
        <w:tc>
          <w:tcPr>
            <w:tcW w:type="dxa" w:w="15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Effort</w:t>
            </w:r>
          </w:p>
        </w:tc>
        <w:tc>
          <w:tcPr>
            <w:tcW w:type="dxa" w:w="216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Recommended for CUVR?</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Literature-based equivalence</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When substantial equivalents exist (XRHealth, MindMaze)</w:t>
            </w:r>
          </w:p>
        </w:tc>
        <w:tc>
          <w:tcPr>
            <w:tcW w:type="dxa" w:w="15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Low–Moderate</w:t>
            </w:r>
          </w:p>
        </w:tc>
        <w:tc>
          <w:tcPr>
            <w:tcW w:type="dxa" w:w="2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Yes — primary pathway</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Pilot data + literature hybrid</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When literature gaps exist for specific indications</w:t>
            </w:r>
          </w:p>
        </w:tc>
        <w:tc>
          <w:tcPr>
            <w:tcW w:type="dxa" w:w="15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Moderate</w:t>
            </w:r>
          </w:p>
        </w:tc>
        <w:tc>
          <w:tcPr>
            <w:tcW w:type="dxa" w:w="2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Yes — for pediatric/balance modules</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Prospective clinical investigation</w:t>
            </w:r>
          </w:p>
        </w:tc>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Novel claim, no equivalent, or reimbursement-grade evidence</w:t>
            </w:r>
          </w:p>
        </w:tc>
        <w:tc>
          <w:tcPr>
            <w:tcW w:type="dxa" w:w="15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High</w:t>
            </w:r>
          </w:p>
        </w:tc>
        <w:tc>
          <w:tcPr>
            <w:tcW w:type="dxa" w:w="2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Phase 3 only — for KSA reimbursement filing</w:t>
            </w:r>
          </w:p>
        </w:tc>
      </w:tr>
    </w:tbl>
    <w:p>
      <w:pPr>
        <w:spacing w:after="60" w:before="60" w:line="300"/>
      </w:pPr>
      <w:r>
        <w:rPr>
          <w:rFonts w:ascii="Calibri" w:cs="Calibri" w:eastAsia="Calibri" w:hAnsi="Calibri"/>
          <w:color w:val="1F2937"/>
          <w:sz w:val="22"/>
          <w:szCs w:val="22"/>
        </w:rPr>
        <w:t xml:space="preserve"/>
      </w:r>
    </w:p>
    <w:p>
      <w:pPr>
        <w:pStyle w:val="Heading2"/>
        <w:spacing w:after="120" w:before="240"/>
      </w:pPr>
      <w:r>
        <w:rPr>
          <w:rFonts w:ascii="Calibri" w:cs="Calibri" w:eastAsia="Calibri" w:hAnsi="Calibri"/>
          <w:b/>
          <w:bCs/>
          <w:color w:val="0A2540"/>
          <w:sz w:val="26"/>
          <w:szCs w:val="26"/>
        </w:rPr>
        <w:t xml:space="preserve">5.2 The Pilot-to-Evidence Conversion</w:t>
      </w:r>
    </w:p>
    <w:p>
      <w:pPr>
        <w:spacing w:after="60" w:before="60" w:line="300"/>
      </w:pPr>
      <w:r>
        <w:rPr>
          <w:rFonts w:ascii="Calibri" w:cs="Calibri" w:eastAsia="Calibri" w:hAnsi="Calibri"/>
          <w:color w:val="1F2937"/>
          <w:sz w:val="22"/>
          <w:szCs w:val="22"/>
        </w:rPr>
        <w:t xml:space="preserve">Phase 1 pilots are not just commercial — they are designed to generate the real-world evidence (RWE) that strengthens the Phase 2 CER. Each pilot site signs a clinical data sharing agreement (de-identified, consented) that allows CUVR to compile aggregate outcomes data. Target metrics for the CER:</w:t>
      </w:r>
    </w:p>
    <w:p>
      <w:pPr>
        <w:pStyle w:val="ListParagraph"/>
        <w:numPr>
          <w:ilvl w:val="0"/>
          <w:numId w:val="2"/>
        </w:numPr>
        <w:spacing w:after="40" w:before="40" w:line="280"/>
      </w:pPr>
      <w:r>
        <w:rPr>
          <w:rFonts w:ascii="Calibri" w:cs="Calibri" w:eastAsia="Calibri" w:hAnsi="Calibri"/>
          <w:color w:val="1F2937"/>
          <w:sz w:val="22"/>
          <w:szCs w:val="22"/>
        </w:rPr>
        <w:t xml:space="preserve">Adherence: % of prescribed sessions completed (CUVR target: 65–75% vs. 35–45% baseline)</w:t>
      </w:r>
    </w:p>
    <w:p>
      <w:pPr>
        <w:pStyle w:val="ListParagraph"/>
        <w:numPr>
          <w:ilvl w:val="0"/>
          <w:numId w:val="2"/>
        </w:numPr>
        <w:spacing w:after="40" w:before="40" w:line="280"/>
      </w:pPr>
      <w:r>
        <w:rPr>
          <w:rFonts w:ascii="Calibri" w:cs="Calibri" w:eastAsia="Calibri" w:hAnsi="Calibri"/>
          <w:color w:val="1F2937"/>
          <w:sz w:val="22"/>
          <w:szCs w:val="22"/>
        </w:rPr>
        <w:t xml:space="preserve">Functional outcomes: Berg Balance Scale, Fugl-Meyer, ROM measurements pre/post 4-week and 8-week protocols</w:t>
      </w:r>
    </w:p>
    <w:p>
      <w:pPr>
        <w:pStyle w:val="ListParagraph"/>
        <w:numPr>
          <w:ilvl w:val="0"/>
          <w:numId w:val="2"/>
        </w:numPr>
        <w:spacing w:after="40" w:before="40" w:line="280"/>
      </w:pPr>
      <w:r>
        <w:rPr>
          <w:rFonts w:ascii="Calibri" w:cs="Calibri" w:eastAsia="Calibri" w:hAnsi="Calibri"/>
          <w:color w:val="1F2937"/>
          <w:sz w:val="22"/>
          <w:szCs w:val="22"/>
        </w:rPr>
        <w:t xml:space="preserve">Patient-reported outcome measures (PROMs): SF-36, condition-specific instruments</w:t>
      </w:r>
    </w:p>
    <w:p>
      <w:pPr>
        <w:pStyle w:val="ListParagraph"/>
        <w:numPr>
          <w:ilvl w:val="0"/>
          <w:numId w:val="2"/>
        </w:numPr>
        <w:spacing w:after="40" w:before="40" w:line="280"/>
      </w:pPr>
      <w:r>
        <w:rPr>
          <w:rFonts w:ascii="Calibri" w:cs="Calibri" w:eastAsia="Calibri" w:hAnsi="Calibri"/>
          <w:color w:val="1F2937"/>
          <w:sz w:val="22"/>
          <w:szCs w:val="22"/>
        </w:rPr>
        <w:t xml:space="preserve">Safety: adverse event rate (target: zero device-related serious AEs; cybersickness &lt;5%)</w:t>
      </w:r>
    </w:p>
    <w:p>
      <w:pPr>
        <w:pStyle w:val="ListParagraph"/>
        <w:numPr>
          <w:ilvl w:val="0"/>
          <w:numId w:val="2"/>
        </w:numPr>
        <w:spacing w:after="40" w:before="40" w:line="280"/>
      </w:pPr>
      <w:r>
        <w:rPr>
          <w:rFonts w:ascii="Calibri" w:cs="Calibri" w:eastAsia="Calibri" w:hAnsi="Calibri"/>
          <w:color w:val="1F2937"/>
          <w:sz w:val="22"/>
          <w:szCs w:val="22"/>
        </w:rPr>
        <w:t xml:space="preserve">Therapist time per session (efficiency): target 40% reduction in 1:1 supervision time</w:t>
      </w:r>
    </w:p>
    <w:p>
      <w:pPr>
        <w:pStyle w:val="Heading2"/>
        <w:spacing w:after="120" w:before="240"/>
      </w:pPr>
      <w:r>
        <w:rPr>
          <w:rFonts w:ascii="Calibri" w:cs="Calibri" w:eastAsia="Calibri" w:hAnsi="Calibri"/>
          <w:b/>
          <w:bCs/>
          <w:color w:val="0A2540"/>
          <w:sz w:val="26"/>
          <w:szCs w:val="26"/>
        </w:rPr>
        <w:t xml:space="preserve">5.3 Publication Strategy</w:t>
      </w:r>
    </w:p>
    <w:p>
      <w:pPr>
        <w:spacing w:after="60" w:before="60" w:line="300"/>
      </w:pPr>
      <w:r>
        <w:rPr>
          <w:rFonts w:ascii="Calibri" w:cs="Calibri" w:eastAsia="Calibri" w:hAnsi="Calibri"/>
          <w:color w:val="1F2937"/>
          <w:sz w:val="22"/>
          <w:szCs w:val="22"/>
        </w:rPr>
        <w:t xml:space="preserve">Two peer-reviewed publications by Month 18 is the goal. Target journals: Journal of NeuroEngineering and Rehabilitation, Disability and Rehabilitation: Assistive Technology, JMIR Serious Games. Co-authorship with the lead pilot clinicians (Mediclinic, Aster, etc.) creates aligned incentives and credibility for sales.</w:t>
      </w:r>
    </w:p>
    <w:p>
      <w:pPr>
        <w:pStyle w:val="Heading1"/>
        <w:spacing w:after="180" w:before="360"/>
      </w:pPr>
      <w:r>
        <w:rPr>
          <w:rFonts w:ascii="Calibri" w:cs="Calibri" w:eastAsia="Calibri" w:hAnsi="Calibri"/>
          <w:b/>
          <w:bCs/>
          <w:color w:val="0A2540"/>
          <w:sz w:val="32"/>
          <w:szCs w:val="32"/>
        </w:rPr>
        <w:t xml:space="preserve">Section 6 — Commercial Implications</w:t>
      </w:r>
    </w:p>
    <w:p>
      <w:pPr>
        <w:pStyle w:val="Heading2"/>
        <w:spacing w:after="120" w:before="240"/>
      </w:pPr>
      <w:r>
        <w:rPr>
          <w:rFonts w:ascii="Calibri" w:cs="Calibri" w:eastAsia="Calibri" w:hAnsi="Calibri"/>
          <w:b/>
          <w:bCs/>
          <w:color w:val="0A2540"/>
          <w:sz w:val="26"/>
          <w:szCs w:val="26"/>
        </w:rPr>
        <w:t xml:space="preserve">6.1 What We Can Sell,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rPr>
          <w:tblHeader/>
        </w:trPr>
        <w:tc>
          <w:tcPr>
            <w:tcW w:type="dxa" w:w="27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Customer Segment</w:t>
            </w:r>
          </w:p>
        </w:tc>
        <w:tc>
          <w:tcPr>
            <w:tcW w:type="dxa" w:w="22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Phase 1 (Months 0–6)</w:t>
            </w:r>
          </w:p>
        </w:tc>
        <w:tc>
          <w:tcPr>
            <w:tcW w:type="dxa" w:w="22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Phase 2 (Months 6–14)</w:t>
            </w:r>
          </w:p>
        </w:tc>
        <w:tc>
          <w:tcPr>
            <w:tcW w:type="dxa" w:w="226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Phase 3 (Months 14+)</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Independent physiotherapy clinics (Tier 2/3)</w:t>
            </w:r>
          </w:p>
        </w:tc>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 Full GTM</w:t>
            </w:r>
          </w:p>
        </w:tc>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 Premium positioning</w:t>
            </w:r>
          </w:p>
        </w:tc>
        <w:tc>
          <w:tcPr>
            <w:tcW w:type="dxa" w:w="22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Mid-size hospital groups (Aster, Mediclinic, NMC)</w:t>
            </w:r>
          </w:p>
        </w:tc>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Pilot only</w:t>
            </w:r>
          </w:p>
        </w:tc>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 Full enterprise GTM</w:t>
            </w:r>
          </w:p>
        </w:tc>
        <w:tc>
          <w:tcPr>
            <w:tcW w:type="dxa" w:w="22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Premium tertiary (Cleveland Clinic Abu Dhabi)</w:t>
            </w:r>
          </w:p>
        </w:tc>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Conversation only</w:t>
            </w:r>
          </w:p>
        </w:tc>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Pilot</w:t>
            </w:r>
          </w:p>
        </w:tc>
        <w:tc>
          <w:tcPr>
            <w:tcW w:type="dxa" w:w="22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 Full enterprise GTM</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Home health agencies (Right at Home, ProVita)</w:t>
            </w:r>
          </w:p>
        </w:tc>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Restricted (therapist-led only)</w:t>
            </w:r>
          </w:p>
        </w:tc>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 Including supervised home use</w:t>
            </w:r>
          </w:p>
        </w:tc>
        <w:tc>
          <w:tcPr>
            <w:tcW w:type="dxa" w:w="22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 Including unsupervised home use</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Insurance reimbursement (Daman, Thiqa, Salama)</w:t>
            </w:r>
          </w:p>
        </w:tc>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Not eligible</w:t>
            </w:r>
          </w:p>
        </w:tc>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Eligible — file for codes</w:t>
            </w:r>
          </w:p>
        </w:tc>
        <w:tc>
          <w:tcPr>
            <w:tcW w:type="dxa" w:w="22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Active reimbursement</w:t>
            </w:r>
          </w:p>
        </w:tc>
      </w:tr>
      <w:tr>
        <w:tc>
          <w:tcPr>
            <w:tcW w:type="dxa" w:w="27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Direct-to-consumer / out-of-pocket patient</w:t>
            </w:r>
          </w:p>
        </w:tc>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Allowed (wellness positioning)</w:t>
            </w:r>
          </w:p>
        </w:tc>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Allowed (with restrictions)</w:t>
            </w:r>
          </w:p>
        </w:tc>
        <w:tc>
          <w:tcPr>
            <w:tcW w:type="dxa" w:w="22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Allowed (with marketed claims)</w:t>
            </w:r>
          </w:p>
        </w:tc>
      </w:tr>
    </w:tbl>
    <w:p>
      <w:pPr>
        <w:spacing w:after="60" w:before="60" w:line="300"/>
      </w:pPr>
      <w:r>
        <w:rPr>
          <w:rFonts w:ascii="Calibri" w:cs="Calibri" w:eastAsia="Calibri" w:hAnsi="Calibri"/>
          <w:color w:val="1F2937"/>
          <w:sz w:val="22"/>
          <w:szCs w:val="22"/>
        </w:rPr>
        <w:t xml:space="preserve"/>
      </w:r>
    </w:p>
    <w:p>
      <w:pPr>
        <w:pStyle w:val="Heading2"/>
        <w:spacing w:after="120" w:before="240"/>
      </w:pPr>
      <w:r>
        <w:rPr>
          <w:rFonts w:ascii="Calibri" w:cs="Calibri" w:eastAsia="Calibri" w:hAnsi="Calibri"/>
          <w:b/>
          <w:bCs/>
          <w:color w:val="0A2540"/>
          <w:sz w:val="26"/>
          <w:szCs w:val="26"/>
        </w:rPr>
        <w:t xml:space="preserve">6.2 The Reimbursement Pathway</w:t>
      </w:r>
    </w:p>
    <w:p>
      <w:pPr>
        <w:spacing w:after="60" w:before="60" w:line="300"/>
      </w:pPr>
      <w:r>
        <w:rPr>
          <w:rFonts w:ascii="Calibri" w:cs="Calibri" w:eastAsia="Calibri" w:hAnsi="Calibri"/>
          <w:color w:val="1F2937"/>
          <w:sz w:val="22"/>
          <w:szCs w:val="22"/>
        </w:rPr>
        <w:t xml:space="preserve">Insurance reimbursement is the single largest commercial unlock from full registration. Once MoHAP MDRC is held, CUVR can file with Daman (Abu Dhabi), Thiqa (Abu Dhabi nationals), Salama, AXA Gulf, Bupa Arabia, and the public Sheryan-funded schemes for procedure code recognition. Expected timeline: 6–9 months from MDRC to first paid claim. Expected reimbursement rate: AED 80–150 per session (vs. AED 35 per-session direct pricing) — a 2–4x revenue uplift on the same clinical volume.</w:t>
      </w:r>
    </w:p>
    <w:p>
      <w:pPr>
        <w:pStyle w:val="Heading2"/>
        <w:spacing w:after="120" w:before="240"/>
      </w:pPr>
      <w:r>
        <w:rPr>
          <w:rFonts w:ascii="Calibri" w:cs="Calibri" w:eastAsia="Calibri" w:hAnsi="Calibri"/>
          <w:b/>
          <w:bCs/>
          <w:color w:val="0A2540"/>
          <w:sz w:val="26"/>
          <w:szCs w:val="26"/>
        </w:rPr>
        <w:t xml:space="preserve">6.3 Marketing Claim Discipline</w:t>
      </w:r>
    </w:p>
    <w:p>
      <w:pPr>
        <w:spacing w:after="60" w:before="60" w:line="300"/>
      </w:pPr>
      <w:r>
        <w:rPr>
          <w:rFonts w:ascii="Calibri" w:cs="Calibri" w:eastAsia="Calibri" w:hAnsi="Calibri"/>
          <w:color w:val="1F2937"/>
          <w:sz w:val="22"/>
          <w:szCs w:val="22"/>
        </w:rPr>
        <w:t xml:space="preserve">During Phase 1, marketing copy must be carefully scoped. The following are safe; the latter are not safe until Phase 2:</w:t>
      </w:r>
    </w:p>
    <w:p>
      <w:pPr>
        <w:pStyle w:val="ListParagraph"/>
        <w:numPr>
          <w:ilvl w:val="0"/>
          <w:numId w:val="2"/>
        </w:numPr>
        <w:spacing w:after="40" w:before="40" w:line="280"/>
      </w:pPr>
      <w:r>
        <w:rPr>
          <w:rFonts w:ascii="Calibri" w:cs="Calibri" w:eastAsia="Calibri" w:hAnsi="Calibri"/>
          <w:b/>
          <w:bCs/>
          <w:i w:val="false"/>
          <w:iCs w:val="false"/>
          <w:color w:val="00A685"/>
          <w:sz w:val="22"/>
          <w:szCs w:val="22"/>
        </w:rPr>
        <w:t xml:space="preserve">Phase 1 SAFE: </w:t>
      </w:r>
      <w:r>
        <w:rPr>
          <w:rFonts w:ascii="Calibri" w:cs="Calibri" w:eastAsia="Calibri" w:hAnsi="Calibri"/>
          <w:b w:val="false"/>
          <w:bCs w:val="false"/>
          <w:i w:val="false"/>
          <w:iCs w:val="false"/>
          <w:color w:val="1F2937"/>
          <w:sz w:val="22"/>
          <w:szCs w:val="22"/>
        </w:rPr>
        <w:t xml:space="preserve">'Increases adherence to therapist-prescribed exercises', 'Engages patients with gamified, immersive therapy enhancements', 'Tracks objective movement data for clinical decisions'.</w:t>
      </w:r>
    </w:p>
    <w:p>
      <w:pPr>
        <w:pStyle w:val="ListParagraph"/>
        <w:numPr>
          <w:ilvl w:val="0"/>
          <w:numId w:val="2"/>
        </w:numPr>
        <w:spacing w:after="40" w:before="40" w:line="280"/>
      </w:pPr>
      <w:r>
        <w:rPr>
          <w:rFonts w:ascii="Calibri" w:cs="Calibri" w:eastAsia="Calibri" w:hAnsi="Calibri"/>
          <w:b/>
          <w:bCs/>
          <w:i w:val="false"/>
          <w:iCs w:val="false"/>
          <w:color w:val="E55050"/>
          <w:sz w:val="22"/>
          <w:szCs w:val="22"/>
        </w:rPr>
        <w:t xml:space="preserve">Phase 1 NOT SAFE: </w:t>
      </w:r>
      <w:r>
        <w:rPr>
          <w:rFonts w:ascii="Calibri" w:cs="Calibri" w:eastAsia="Calibri" w:hAnsi="Calibri"/>
          <w:b w:val="false"/>
          <w:bCs w:val="false"/>
          <w:i w:val="false"/>
          <w:iCs w:val="false"/>
          <w:color w:val="1F2937"/>
          <w:sz w:val="22"/>
          <w:szCs w:val="22"/>
        </w:rPr>
        <w:t xml:space="preserve">'Treats stroke', 'Rehabilitates motor function', 'Reduces pain', 'Prevents falls', 'Diagnoses balance disorders'. These are clinical claims requiring registered-device status.</w:t>
      </w:r>
    </w:p>
    <w:p>
      <w:pPr>
        <w:pStyle w:val="Heading1"/>
        <w:spacing w:after="180" w:before="360"/>
      </w:pPr>
      <w:r>
        <w:rPr>
          <w:rFonts w:ascii="Calibri" w:cs="Calibri" w:eastAsia="Calibri" w:hAnsi="Calibri"/>
          <w:b/>
          <w:bCs/>
          <w:color w:val="0A2540"/>
          <w:sz w:val="32"/>
          <w:szCs w:val="32"/>
        </w:rPr>
        <w:t xml:space="preserve">Section 7 — Risk Register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300"/>
        <w:gridCol w:w="3660"/>
      </w:tblGrid>
      <w:tr>
        <w:trPr>
          <w:tblHeader/>
        </w:trPr>
        <w:tc>
          <w:tcPr>
            <w:tcW w:type="dxa" w:w="30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Risk</w:t>
            </w:r>
          </w:p>
        </w:tc>
        <w:tc>
          <w:tcPr>
            <w:tcW w:type="dxa" w:w="14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Probability</w:t>
            </w:r>
          </w:p>
        </w:tc>
        <w:tc>
          <w:tcPr>
            <w:tcW w:type="dxa" w:w="13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Impact</w:t>
            </w:r>
          </w:p>
        </w:tc>
        <w:tc>
          <w:tcPr>
            <w:tcW w:type="dxa" w:w="366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Mitigation</w:t>
            </w:r>
          </w:p>
        </w:tc>
      </w:tr>
      <w:tr>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MoHAP review delays (&gt;14 months)</w:t>
            </w:r>
          </w:p>
        </w:tc>
        <w:tc>
          <w:tcPr>
            <w:tcW w:type="dxa" w:w="1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Medium</w:t>
            </w:r>
          </w:p>
        </w:tc>
        <w:tc>
          <w:tcPr>
            <w:tcW w:type="dxa" w:w="1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High</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Pre-submission meeting; experienced consultant; respond to deficiency letters within 14 days</w:t>
            </w:r>
          </w:p>
        </w:tc>
      </w:tr>
      <w:tr>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Reclassification to Class IIb mid-process</w:t>
            </w:r>
          </w:p>
        </w:tc>
        <w:tc>
          <w:tcPr>
            <w:tcW w:type="dxa" w:w="1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Low</w:t>
            </w:r>
          </w:p>
        </w:tc>
        <w:tc>
          <w:tcPr>
            <w:tcW w:type="dxa" w:w="1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High</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Architect AI/diagnostic features as separate modules; conservative claim language</w:t>
            </w:r>
          </w:p>
        </w:tc>
      </w:tr>
      <w:tr>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Data residency violation during pilot</w:t>
            </w:r>
          </w:p>
        </w:tc>
        <w:tc>
          <w:tcPr>
            <w:tcW w:type="dxa" w:w="1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Low</w:t>
            </w:r>
          </w:p>
        </w:tc>
        <w:tc>
          <w:tcPr>
            <w:tcW w:type="dxa" w:w="1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Critical</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AWS me-central-1 from Day 1; signed BAA; quarterly access audits</w:t>
            </w:r>
          </w:p>
        </w:tc>
      </w:tr>
      <w:tr>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Cyber breach during pilot phase</w:t>
            </w:r>
          </w:p>
        </w:tc>
        <w:tc>
          <w:tcPr>
            <w:tcW w:type="dxa" w:w="1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Medium</w:t>
            </w:r>
          </w:p>
        </w:tc>
        <w:tc>
          <w:tcPr>
            <w:tcW w:type="dxa" w:w="1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Critical</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ISO 27001 by Month 8; cyber insurance AED 5M+; quarterly pentests</w:t>
            </w:r>
          </w:p>
        </w:tc>
      </w:tr>
      <w:tr>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Brand collision with cuvr.io (US)</w:t>
            </w:r>
          </w:p>
        </w:tc>
        <w:tc>
          <w:tcPr>
            <w:tcW w:type="dxa" w:w="1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High</w:t>
            </w:r>
          </w:p>
        </w:tc>
        <w:tc>
          <w:tcPr>
            <w:tcW w:type="dxa" w:w="1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Medium</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Trademark filing UAE/GCC Week 1; defensive .ae and .health domains; consider rebrand-ready name backup</w:t>
            </w:r>
          </w:p>
        </w:tc>
      </w:tr>
      <w:tr>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Clinical adverse event (cybersickness, fall)</w:t>
            </w:r>
          </w:p>
        </w:tc>
        <w:tc>
          <w:tcPr>
            <w:tcW w:type="dxa" w:w="1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Low</w:t>
            </w:r>
          </w:p>
        </w:tc>
        <w:tc>
          <w:tcPr>
            <w:tcW w:type="dxa" w:w="1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High</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Strict screening protocol; therapist-supervised only in Phase 1; documented IFU contraindications</w:t>
            </w:r>
          </w:p>
        </w:tc>
      </w:tr>
      <w:tr>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Cost overrun on Phase 2 (&gt;AED 500K)</w:t>
            </w:r>
          </w:p>
        </w:tc>
        <w:tc>
          <w:tcPr>
            <w:tcW w:type="dxa" w:w="1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Medium</w:t>
            </w:r>
          </w:p>
        </w:tc>
        <w:tc>
          <w:tcPr>
            <w:tcW w:type="dxa" w:w="1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Medium</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Fixed-fee consultant retainer; modular budget; staged go/no-go gates</w:t>
            </w:r>
          </w:p>
        </w:tc>
      </w:tr>
      <w:tr>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Key reg consultant departure</w:t>
            </w:r>
          </w:p>
        </w:tc>
        <w:tc>
          <w:tcPr>
            <w:tcW w:type="dxa" w:w="1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Low</w:t>
            </w:r>
          </w:p>
        </w:tc>
        <w:tc>
          <w:tcPr>
            <w:tcW w:type="dxa" w:w="1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Medium</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Document everything in shared knowledge base; secondary consultant on retainer</w:t>
            </w:r>
          </w:p>
        </w:tc>
      </w:tr>
      <w:tr>
        <w:tc>
          <w:tcPr>
            <w:tcW w:type="dxa" w:w="30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GCC reciprocity slower than expected</w:t>
            </w:r>
          </w:p>
        </w:tc>
        <w:tc>
          <w:tcPr>
            <w:tcW w:type="dxa" w:w="14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Medium</w:t>
            </w:r>
          </w:p>
        </w:tc>
        <w:tc>
          <w:tcPr>
            <w:tcW w:type="dxa" w:w="13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Medium</w:t>
            </w:r>
          </w:p>
        </w:tc>
        <w:tc>
          <w:tcPr>
            <w:tcW w:type="dxa" w:w="36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Begin SFDA filing 30 days post-MDRC, do not wait for first GCC sale</w:t>
            </w:r>
          </w:p>
        </w:tc>
      </w:tr>
    </w:tbl>
    <w:p>
      <w:pPr>
        <w:spacing w:after="60" w:before="60" w:line="300"/>
      </w:pPr>
      <w:r>
        <w:rPr>
          <w:rFonts w:ascii="Calibri" w:cs="Calibri" w:eastAsia="Calibri" w:hAnsi="Calibri"/>
          <w:color w:val="1F2937"/>
          <w:sz w:val="22"/>
          <w:szCs w:val="22"/>
        </w:rPr>
        <w:t xml:space="preserve"/>
      </w:r>
    </w:p>
    <w:p>
      <w:pPr>
        <w:pStyle w:val="Heading1"/>
        <w:spacing w:after="180" w:before="360"/>
      </w:pPr>
      <w:r>
        <w:rPr>
          <w:rFonts w:ascii="Calibri" w:cs="Calibri" w:eastAsia="Calibri" w:hAnsi="Calibri"/>
          <w:b/>
          <w:bCs/>
          <w:color w:val="0A2540"/>
          <w:sz w:val="32"/>
          <w:szCs w:val="32"/>
        </w:rPr>
        <w:t xml:space="preserve">Section 8 — Recommended Vendors &amp; Consultants</w:t>
      </w:r>
    </w:p>
    <w:p>
      <w:pPr>
        <w:spacing w:after="60" w:before="60" w:line="300"/>
      </w:pPr>
      <w:r>
        <w:rPr>
          <w:rFonts w:ascii="Calibri" w:cs="Calibri" w:eastAsia="Calibri" w:hAnsi="Calibri"/>
          <w:color w:val="1F2937"/>
          <w:sz w:val="22"/>
          <w:szCs w:val="22"/>
        </w:rPr>
        <w:t xml:space="preserve">The UAE has a mature regulatory affairs ecosystem for medical devices. Below are the most credible firms for each scope of work. CUVR should engage 2–3 in early conversations and select based on responsiveness, fixed-fee willingness, and prior digital health experience.</w:t>
      </w:r>
    </w:p>
    <w:p>
      <w:pPr>
        <w:pStyle w:val="Heading3"/>
        <w:spacing w:after="100" w:before="200"/>
      </w:pPr>
      <w:r>
        <w:rPr>
          <w:rFonts w:ascii="Calibri" w:cs="Calibri" w:eastAsia="Calibri" w:hAnsi="Calibri"/>
          <w:b/>
          <w:bCs/>
          <w:color w:val="00A685"/>
          <w:sz w:val="23"/>
          <w:szCs w:val="23"/>
        </w:rPr>
        <w:t xml:space="preserve">Regulatory Affairs (UAE/GCC)</w:t>
      </w:r>
    </w:p>
    <w:p>
      <w:pPr>
        <w:pStyle w:val="ListParagraph"/>
        <w:numPr>
          <w:ilvl w:val="0"/>
          <w:numId w:val="2"/>
        </w:numPr>
        <w:spacing w:after="40" w:before="40" w:line="280"/>
      </w:pPr>
      <w:r>
        <w:rPr>
          <w:rFonts w:ascii="Calibri" w:cs="Calibri" w:eastAsia="Calibri" w:hAnsi="Calibri"/>
          <w:color w:val="1F2937"/>
          <w:sz w:val="22"/>
          <w:szCs w:val="22"/>
        </w:rPr>
        <w:t xml:space="preserve">Aspire Regulatory Consulting (Dubai) — strong DHA and MoHAP relationships; digital health practice</w:t>
      </w:r>
    </w:p>
    <w:p>
      <w:pPr>
        <w:pStyle w:val="ListParagraph"/>
        <w:numPr>
          <w:ilvl w:val="0"/>
          <w:numId w:val="2"/>
        </w:numPr>
        <w:spacing w:after="40" w:before="40" w:line="280"/>
      </w:pPr>
      <w:r>
        <w:rPr>
          <w:rFonts w:ascii="Calibri" w:cs="Calibri" w:eastAsia="Calibri" w:hAnsi="Calibri"/>
          <w:color w:val="1F2937"/>
          <w:sz w:val="22"/>
          <w:szCs w:val="22"/>
        </w:rPr>
        <w:t xml:space="preserve">Pharma Solutions Middle East — broader pharma + device; GCC reach</w:t>
      </w:r>
    </w:p>
    <w:p>
      <w:pPr>
        <w:pStyle w:val="ListParagraph"/>
        <w:numPr>
          <w:ilvl w:val="0"/>
          <w:numId w:val="2"/>
        </w:numPr>
        <w:spacing w:after="40" w:before="40" w:line="280"/>
      </w:pPr>
      <w:r>
        <w:rPr>
          <w:rFonts w:ascii="Calibri" w:cs="Calibri" w:eastAsia="Calibri" w:hAnsi="Calibri"/>
          <w:color w:val="1F2937"/>
          <w:sz w:val="22"/>
          <w:szCs w:val="22"/>
        </w:rPr>
        <w:t xml:space="preserve">Medivigil Healthcare Consulting — focused on devices; SFDA expertise</w:t>
      </w:r>
    </w:p>
    <w:p>
      <w:pPr>
        <w:pStyle w:val="ListParagraph"/>
        <w:numPr>
          <w:ilvl w:val="0"/>
          <w:numId w:val="2"/>
        </w:numPr>
        <w:spacing w:after="40" w:before="40" w:line="280"/>
      </w:pPr>
      <w:r>
        <w:rPr>
          <w:rFonts w:ascii="Calibri" w:cs="Calibri" w:eastAsia="Calibri" w:hAnsi="Calibri"/>
          <w:color w:val="1F2937"/>
          <w:sz w:val="22"/>
          <w:szCs w:val="22"/>
        </w:rPr>
        <w:t xml:space="preserve">Freyr Solutions — global with UAE office; expensive but thorough</w:t>
      </w:r>
    </w:p>
    <w:p>
      <w:pPr>
        <w:pStyle w:val="Heading3"/>
        <w:spacing w:after="100" w:before="200"/>
      </w:pPr>
      <w:r>
        <w:rPr>
          <w:rFonts w:ascii="Calibri" w:cs="Calibri" w:eastAsia="Calibri" w:hAnsi="Calibri"/>
          <w:b/>
          <w:bCs/>
          <w:color w:val="00A685"/>
          <w:sz w:val="23"/>
          <w:szCs w:val="23"/>
        </w:rPr>
        <w:t xml:space="preserve">ISO 13485 / 27001 Notified Bodies</w:t>
      </w:r>
    </w:p>
    <w:p>
      <w:pPr>
        <w:pStyle w:val="ListParagraph"/>
        <w:numPr>
          <w:ilvl w:val="0"/>
          <w:numId w:val="2"/>
        </w:numPr>
        <w:spacing w:after="40" w:before="40" w:line="280"/>
      </w:pPr>
      <w:r>
        <w:rPr>
          <w:rFonts w:ascii="Calibri" w:cs="Calibri" w:eastAsia="Calibri" w:hAnsi="Calibri"/>
          <w:color w:val="1F2937"/>
          <w:sz w:val="22"/>
          <w:szCs w:val="22"/>
        </w:rPr>
        <w:t xml:space="preserve">BSI Middle East — Dubai office; strong digital health track record</w:t>
      </w:r>
    </w:p>
    <w:p>
      <w:pPr>
        <w:pStyle w:val="ListParagraph"/>
        <w:numPr>
          <w:ilvl w:val="0"/>
          <w:numId w:val="2"/>
        </w:numPr>
        <w:spacing w:after="40" w:before="40" w:line="280"/>
      </w:pPr>
      <w:r>
        <w:rPr>
          <w:rFonts w:ascii="Calibri" w:cs="Calibri" w:eastAsia="Calibri" w:hAnsi="Calibri"/>
          <w:color w:val="1F2937"/>
          <w:sz w:val="22"/>
          <w:szCs w:val="22"/>
        </w:rPr>
        <w:t xml:space="preserve">TÜV SÜD Middle East — Abu Dhabi-based; competitive pricing</w:t>
      </w:r>
    </w:p>
    <w:p>
      <w:pPr>
        <w:pStyle w:val="ListParagraph"/>
        <w:numPr>
          <w:ilvl w:val="0"/>
          <w:numId w:val="2"/>
        </w:numPr>
        <w:spacing w:after="40" w:before="40" w:line="280"/>
      </w:pPr>
      <w:r>
        <w:rPr>
          <w:rFonts w:ascii="Calibri" w:cs="Calibri" w:eastAsia="Calibri" w:hAnsi="Calibri"/>
          <w:color w:val="1F2937"/>
          <w:sz w:val="22"/>
          <w:szCs w:val="22"/>
        </w:rPr>
        <w:t xml:space="preserve">SGS Gulf — broad accreditation; faster turnaround for ISO 27001</w:t>
      </w:r>
    </w:p>
    <w:p>
      <w:pPr>
        <w:pStyle w:val="ListParagraph"/>
        <w:numPr>
          <w:ilvl w:val="0"/>
          <w:numId w:val="2"/>
        </w:numPr>
        <w:spacing w:after="40" w:before="40" w:line="280"/>
      </w:pPr>
      <w:r>
        <w:rPr>
          <w:rFonts w:ascii="Calibri" w:cs="Calibri" w:eastAsia="Calibri" w:hAnsi="Calibri"/>
          <w:color w:val="1F2937"/>
          <w:sz w:val="22"/>
          <w:szCs w:val="22"/>
        </w:rPr>
        <w:t xml:space="preserve">DAC (Dubai Accreditation Centre) — local accreditor for ISO 13485 in DHA</w:t>
      </w:r>
    </w:p>
    <w:p>
      <w:pPr>
        <w:pStyle w:val="Heading3"/>
        <w:spacing w:after="100" w:before="200"/>
      </w:pPr>
      <w:r>
        <w:rPr>
          <w:rFonts w:ascii="Calibri" w:cs="Calibri" w:eastAsia="Calibri" w:hAnsi="Calibri"/>
          <w:b/>
          <w:bCs/>
          <w:color w:val="00A685"/>
          <w:sz w:val="23"/>
          <w:szCs w:val="23"/>
        </w:rPr>
        <w:t xml:space="preserve">Cybersecurity / Penetration Testing</w:t>
      </w:r>
    </w:p>
    <w:p>
      <w:pPr>
        <w:pStyle w:val="ListParagraph"/>
        <w:numPr>
          <w:ilvl w:val="0"/>
          <w:numId w:val="2"/>
        </w:numPr>
        <w:spacing w:after="40" w:before="40" w:line="280"/>
      </w:pPr>
      <w:r>
        <w:rPr>
          <w:rFonts w:ascii="Calibri" w:cs="Calibri" w:eastAsia="Calibri" w:hAnsi="Calibri"/>
          <w:color w:val="1F2937"/>
          <w:sz w:val="22"/>
          <w:szCs w:val="22"/>
        </w:rPr>
        <w:t xml:space="preserve">CyberGate (Abu Dhabi) — healthcare specialty; ADHICS expertise</w:t>
      </w:r>
    </w:p>
    <w:p>
      <w:pPr>
        <w:pStyle w:val="ListParagraph"/>
        <w:numPr>
          <w:ilvl w:val="0"/>
          <w:numId w:val="2"/>
        </w:numPr>
        <w:spacing w:after="40" w:before="40" w:line="280"/>
      </w:pPr>
      <w:r>
        <w:rPr>
          <w:rFonts w:ascii="Calibri" w:cs="Calibri" w:eastAsia="Calibri" w:hAnsi="Calibri"/>
          <w:color w:val="1F2937"/>
          <w:sz w:val="22"/>
          <w:szCs w:val="22"/>
        </w:rPr>
        <w:t xml:space="preserve">DTS Solution (Dubai) — broad infosec; offensive security capability</w:t>
      </w:r>
    </w:p>
    <w:p>
      <w:pPr>
        <w:pStyle w:val="ListParagraph"/>
        <w:numPr>
          <w:ilvl w:val="0"/>
          <w:numId w:val="2"/>
        </w:numPr>
        <w:spacing w:after="40" w:before="40" w:line="280"/>
      </w:pPr>
      <w:r>
        <w:rPr>
          <w:rFonts w:ascii="Calibri" w:cs="Calibri" w:eastAsia="Calibri" w:hAnsi="Calibri"/>
          <w:color w:val="1F2937"/>
          <w:sz w:val="22"/>
          <w:szCs w:val="22"/>
        </w:rPr>
        <w:t xml:space="preserve">Help AG (an e&amp; enterprise company) — large account / hospital focus</w:t>
      </w:r>
    </w:p>
    <w:p>
      <w:pPr>
        <w:pStyle w:val="Heading3"/>
        <w:spacing w:after="100" w:before="200"/>
      </w:pPr>
      <w:r>
        <w:rPr>
          <w:rFonts w:ascii="Calibri" w:cs="Calibri" w:eastAsia="Calibri" w:hAnsi="Calibri"/>
          <w:b/>
          <w:bCs/>
          <w:color w:val="00A685"/>
          <w:sz w:val="23"/>
          <w:szCs w:val="23"/>
        </w:rPr>
        <w:t xml:space="preserve">Clinical Evaluation</w:t>
      </w:r>
    </w:p>
    <w:p>
      <w:pPr>
        <w:pStyle w:val="ListParagraph"/>
        <w:numPr>
          <w:ilvl w:val="0"/>
          <w:numId w:val="2"/>
        </w:numPr>
        <w:spacing w:after="40" w:before="40" w:line="280"/>
      </w:pPr>
      <w:r>
        <w:rPr>
          <w:rFonts w:ascii="Calibri" w:cs="Calibri" w:eastAsia="Calibri" w:hAnsi="Calibri"/>
          <w:color w:val="1F2937"/>
          <w:sz w:val="22"/>
          <w:szCs w:val="22"/>
        </w:rPr>
        <w:t xml:space="preserve">Clinevo (UK with UAE engagements) — CER specialists for digital therapeutics</w:t>
      </w:r>
    </w:p>
    <w:p>
      <w:pPr>
        <w:pStyle w:val="ListParagraph"/>
        <w:numPr>
          <w:ilvl w:val="0"/>
          <w:numId w:val="2"/>
        </w:numPr>
        <w:spacing w:after="40" w:before="40" w:line="280"/>
      </w:pPr>
      <w:r>
        <w:rPr>
          <w:rFonts w:ascii="Calibri" w:cs="Calibri" w:eastAsia="Calibri" w:hAnsi="Calibri"/>
          <w:color w:val="1F2937"/>
          <w:sz w:val="22"/>
          <w:szCs w:val="22"/>
        </w:rPr>
        <w:t xml:space="preserve">Independent local KOLs — Mohammed bin Rashid University, Cleveland Clinic Abu Dhabi clinical research office</w:t>
      </w:r>
    </w:p>
    <w:p>
      <w:pPr>
        <w:pStyle w:val="Heading1"/>
        <w:spacing w:after="180" w:before="360"/>
      </w:pPr>
      <w:r>
        <w:rPr>
          <w:rFonts w:ascii="Calibri" w:cs="Calibri" w:eastAsia="Calibri" w:hAnsi="Calibri"/>
          <w:b/>
          <w:bCs/>
          <w:color w:val="0A2540"/>
          <w:sz w:val="32"/>
          <w:szCs w:val="32"/>
        </w:rPr>
        <w:t xml:space="preserve">Section 9 — Action Plan: Next 30 Days</w:t>
      </w:r>
    </w:p>
    <w:p>
      <w:pPr>
        <w:pBdr>
          <w:left w:val="single" w:color="00A685" w:sz="24" w:space="12"/>
        </w:pBdr>
        <w:shd w:fill="F8FAFB" w:val="clear"/>
        <w:spacing w:after="180" w:before="180"/>
      </w:pPr>
      <w:r>
        <w:rPr>
          <w:rFonts w:ascii="Calibri" w:cs="Calibri" w:eastAsia="Calibri" w:hAnsi="Calibri"/>
          <w:i/>
          <w:iCs/>
          <w:color w:val="1F2937"/>
          <w:sz w:val="22"/>
          <w:szCs w:val="22"/>
        </w:rPr>
        <w:t xml:space="preserve">Begin regulatory work in parallel with Phase 1 commercial launch — do not wait for pilot results. The 9–14 month timeline starts the day you file the MoHAP pre-submission request.</w:t>
      </w:r>
    </w:p>
    <w:p>
      <w:pPr>
        <w:spacing w:after="60" w:before="60" w:line="300"/>
      </w:pPr>
      <w:r>
        <w:rPr>
          <w:rFonts w:ascii="Calibri" w:cs="Calibri" w:eastAsia="Calibri" w:hAnsi="Calibri"/>
          <w:color w:val="1F2937"/>
          <w:sz w:val="22"/>
          <w:szCs w:val="22"/>
        </w:rPr>
        <w:t xml:space="preserve">The following actions must be completed in the next 30 days to stay on track for Phase 2 completion within 14 months:</w:t>
      </w:r>
    </w:p>
    <w:p>
      <w:pPr>
        <w:pStyle w:val="ListParagraph"/>
        <w:numPr>
          <w:ilvl w:val="0"/>
          <w:numId w:val="2"/>
        </w:numPr>
        <w:spacing w:after="40" w:before="40" w:line="280"/>
      </w:pPr>
      <w:r>
        <w:rPr>
          <w:rFonts w:ascii="Calibri" w:cs="Calibri" w:eastAsia="Calibri" w:hAnsi="Calibri"/>
          <w:b/>
          <w:bCs/>
          <w:i w:val="false"/>
          <w:iCs w:val="false"/>
          <w:color w:val="1F2937"/>
          <w:sz w:val="22"/>
          <w:szCs w:val="22"/>
        </w:rPr>
        <w:t xml:space="preserve">Week 1: </w:t>
      </w:r>
      <w:r>
        <w:rPr>
          <w:rFonts w:ascii="Calibri" w:cs="Calibri" w:eastAsia="Calibri" w:hAnsi="Calibri"/>
          <w:b w:val="false"/>
          <w:bCs w:val="false"/>
          <w:i w:val="false"/>
          <w:iCs w:val="false"/>
          <w:color w:val="1F2937"/>
          <w:sz w:val="22"/>
          <w:szCs w:val="22"/>
        </w:rPr>
        <w:t xml:space="preserve">File DED Mainland LLC. File trademark applications (cuvr name, logo) in UAE and GCC. Engage trademark attorney to assess cuvr.io brand collision.</w:t>
      </w:r>
    </w:p>
    <w:p>
      <w:pPr>
        <w:pStyle w:val="ListParagraph"/>
        <w:numPr>
          <w:ilvl w:val="0"/>
          <w:numId w:val="2"/>
        </w:numPr>
        <w:spacing w:after="40" w:before="40" w:line="280"/>
      </w:pPr>
      <w:r>
        <w:rPr>
          <w:rFonts w:ascii="Calibri" w:cs="Calibri" w:eastAsia="Calibri" w:hAnsi="Calibri"/>
          <w:b/>
          <w:bCs/>
          <w:i w:val="false"/>
          <w:iCs w:val="false"/>
          <w:color w:val="1F2937"/>
          <w:sz w:val="22"/>
          <w:szCs w:val="22"/>
        </w:rPr>
        <w:t xml:space="preserve">Week 1: </w:t>
      </w:r>
      <w:r>
        <w:rPr>
          <w:rFonts w:ascii="Calibri" w:cs="Calibri" w:eastAsia="Calibri" w:hAnsi="Calibri"/>
          <w:b w:val="false"/>
          <w:bCs w:val="false"/>
          <w:i w:val="false"/>
          <w:iCs w:val="false"/>
          <w:color w:val="1F2937"/>
          <w:sz w:val="22"/>
          <w:szCs w:val="22"/>
        </w:rPr>
        <w:t xml:space="preserve">Issue RFP to 3 regulatory consultants. Target: signed engagement letter by Day 21.</w:t>
      </w:r>
    </w:p>
    <w:p>
      <w:pPr>
        <w:pStyle w:val="ListParagraph"/>
        <w:numPr>
          <w:ilvl w:val="0"/>
          <w:numId w:val="2"/>
        </w:numPr>
        <w:spacing w:after="40" w:before="40" w:line="280"/>
      </w:pPr>
      <w:r>
        <w:rPr>
          <w:rFonts w:ascii="Calibri" w:cs="Calibri" w:eastAsia="Calibri" w:hAnsi="Calibri"/>
          <w:b/>
          <w:bCs/>
          <w:i w:val="false"/>
          <w:iCs w:val="false"/>
          <w:color w:val="1F2937"/>
          <w:sz w:val="22"/>
          <w:szCs w:val="22"/>
        </w:rPr>
        <w:t xml:space="preserve">Week 2: </w:t>
      </w:r>
      <w:r>
        <w:rPr>
          <w:rFonts w:ascii="Calibri" w:cs="Calibri" w:eastAsia="Calibri" w:hAnsi="Calibri"/>
          <w:b w:val="false"/>
          <w:bCs w:val="false"/>
          <w:i w:val="false"/>
          <w:iCs w:val="false"/>
          <w:color w:val="1F2937"/>
          <w:sz w:val="22"/>
          <w:szCs w:val="22"/>
        </w:rPr>
        <w:t xml:space="preserve">Open AWS me-central-1 account. Sign HIPAA-equivalent BAA. Begin migrating any pilot data to UAE region only.</w:t>
      </w:r>
    </w:p>
    <w:p>
      <w:pPr>
        <w:pStyle w:val="ListParagraph"/>
        <w:numPr>
          <w:ilvl w:val="0"/>
          <w:numId w:val="2"/>
        </w:numPr>
        <w:spacing w:after="40" w:before="40" w:line="280"/>
      </w:pPr>
      <w:r>
        <w:rPr>
          <w:rFonts w:ascii="Calibri" w:cs="Calibri" w:eastAsia="Calibri" w:hAnsi="Calibri"/>
          <w:b/>
          <w:bCs/>
          <w:i w:val="false"/>
          <w:iCs w:val="false"/>
          <w:color w:val="1F2937"/>
          <w:sz w:val="22"/>
          <w:szCs w:val="22"/>
        </w:rPr>
        <w:t xml:space="preserve">Week 2: </w:t>
      </w:r>
      <w:r>
        <w:rPr>
          <w:rFonts w:ascii="Calibri" w:cs="Calibri" w:eastAsia="Calibri" w:hAnsi="Calibri"/>
          <w:b w:val="false"/>
          <w:bCs w:val="false"/>
          <w:i w:val="false"/>
          <w:iCs w:val="false"/>
          <w:color w:val="1F2937"/>
          <w:sz w:val="22"/>
          <w:szCs w:val="22"/>
        </w:rPr>
        <w:t xml:space="preserve">Draft data processing agreement template for clinic pilots. Have legal counsel review against DHA Health Data Protection Regulation 2022.</w:t>
      </w:r>
    </w:p>
    <w:p>
      <w:pPr>
        <w:pStyle w:val="ListParagraph"/>
        <w:numPr>
          <w:ilvl w:val="0"/>
          <w:numId w:val="2"/>
        </w:numPr>
        <w:spacing w:after="40" w:before="40" w:line="280"/>
      </w:pPr>
      <w:r>
        <w:rPr>
          <w:rFonts w:ascii="Calibri" w:cs="Calibri" w:eastAsia="Calibri" w:hAnsi="Calibri"/>
          <w:b/>
          <w:bCs/>
          <w:i w:val="false"/>
          <w:iCs w:val="false"/>
          <w:color w:val="1F2937"/>
          <w:sz w:val="22"/>
          <w:szCs w:val="22"/>
        </w:rPr>
        <w:t xml:space="preserve">Week 3: </w:t>
      </w:r>
      <w:r>
        <w:rPr>
          <w:rFonts w:ascii="Calibri" w:cs="Calibri" w:eastAsia="Calibri" w:hAnsi="Calibri"/>
          <w:b w:val="false"/>
          <w:bCs w:val="false"/>
          <w:i w:val="false"/>
          <w:iCs w:val="false"/>
          <w:color w:val="1F2937"/>
          <w:sz w:val="22"/>
          <w:szCs w:val="22"/>
        </w:rPr>
        <w:t xml:space="preserve">Submit MoHAP pre-submission meeting request. Prepare 8–12 page briefing pack: device description, intended use, IMDRF Rule 11 classification rationale.</w:t>
      </w:r>
    </w:p>
    <w:p>
      <w:pPr>
        <w:pStyle w:val="ListParagraph"/>
        <w:numPr>
          <w:ilvl w:val="0"/>
          <w:numId w:val="2"/>
        </w:numPr>
        <w:spacing w:after="40" w:before="40" w:line="280"/>
      </w:pPr>
      <w:r>
        <w:rPr>
          <w:rFonts w:ascii="Calibri" w:cs="Calibri" w:eastAsia="Calibri" w:hAnsi="Calibri"/>
          <w:b/>
          <w:bCs/>
          <w:i w:val="false"/>
          <w:iCs w:val="false"/>
          <w:color w:val="1F2937"/>
          <w:sz w:val="22"/>
          <w:szCs w:val="22"/>
        </w:rPr>
        <w:t xml:space="preserve">Week 3: </w:t>
      </w:r>
      <w:r>
        <w:rPr>
          <w:rFonts w:ascii="Calibri" w:cs="Calibri" w:eastAsia="Calibri" w:hAnsi="Calibri"/>
          <w:b w:val="false"/>
          <w:bCs w:val="false"/>
          <w:i w:val="false"/>
          <w:iCs w:val="false"/>
          <w:color w:val="1F2937"/>
          <w:sz w:val="22"/>
          <w:szCs w:val="22"/>
        </w:rPr>
        <w:t xml:space="preserve">Bind cyber liability insurance (AED 3–5M minimum coverage).</w:t>
      </w:r>
    </w:p>
    <w:p>
      <w:pPr>
        <w:pStyle w:val="ListParagraph"/>
        <w:numPr>
          <w:ilvl w:val="0"/>
          <w:numId w:val="2"/>
        </w:numPr>
        <w:spacing w:after="40" w:before="40" w:line="280"/>
      </w:pPr>
      <w:r>
        <w:rPr>
          <w:rFonts w:ascii="Calibri" w:cs="Calibri" w:eastAsia="Calibri" w:hAnsi="Calibri"/>
          <w:b/>
          <w:bCs/>
          <w:i w:val="false"/>
          <w:iCs w:val="false"/>
          <w:color w:val="1F2937"/>
          <w:sz w:val="22"/>
          <w:szCs w:val="22"/>
        </w:rPr>
        <w:t xml:space="preserve">Week 4: </w:t>
      </w:r>
      <w:r>
        <w:rPr>
          <w:rFonts w:ascii="Calibri" w:cs="Calibri" w:eastAsia="Calibri" w:hAnsi="Calibri"/>
          <w:b w:val="false"/>
          <w:bCs w:val="false"/>
          <w:i w:val="false"/>
          <w:iCs w:val="false"/>
          <w:color w:val="1F2937"/>
          <w:sz w:val="22"/>
          <w:szCs w:val="22"/>
        </w:rPr>
        <w:t xml:space="preserve">Complete DHA Sheryan technology vendor notification. Schedule kickoff for ISO 13485 implementation (target start Month 2).</w:t>
      </w:r>
    </w:p>
    <w:p>
      <w:pPr>
        <w:pStyle w:val="ListParagraph"/>
        <w:numPr>
          <w:ilvl w:val="0"/>
          <w:numId w:val="2"/>
        </w:numPr>
        <w:spacing w:after="40" w:before="40" w:line="280"/>
      </w:pPr>
      <w:r>
        <w:rPr>
          <w:rFonts w:ascii="Calibri" w:cs="Calibri" w:eastAsia="Calibri" w:hAnsi="Calibri"/>
          <w:b/>
          <w:bCs/>
          <w:i w:val="false"/>
          <w:iCs w:val="false"/>
          <w:color w:val="1F2937"/>
          <w:sz w:val="22"/>
          <w:szCs w:val="22"/>
        </w:rPr>
        <w:t xml:space="preserve">Week 4: </w:t>
      </w:r>
      <w:r>
        <w:rPr>
          <w:rFonts w:ascii="Calibri" w:cs="Calibri" w:eastAsia="Calibri" w:hAnsi="Calibri"/>
          <w:b w:val="false"/>
          <w:bCs w:val="false"/>
          <w:i w:val="false"/>
          <w:iCs w:val="false"/>
          <w:color w:val="1F2937"/>
          <w:sz w:val="22"/>
          <w:szCs w:val="22"/>
        </w:rPr>
        <w:t xml:space="preserve">Document Quality Manual v0.1. Appoint internal Quality Lead (founder or CTO acceptable for first 90 days).</w:t>
      </w:r>
    </w:p>
    <w:p>
      <w:pPr>
        <w:pStyle w:val="Heading1"/>
        <w:spacing w:after="180" w:before="360"/>
      </w:pPr>
      <w:r>
        <w:rPr>
          <w:rFonts w:ascii="Calibri" w:cs="Calibri" w:eastAsia="Calibri" w:hAnsi="Calibri"/>
          <w:b/>
          <w:bCs/>
          <w:color w:val="0A2540"/>
          <w:sz w:val="32"/>
          <w:szCs w:val="32"/>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ADHICS</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Abu Dhabi Healthcare Information &amp; Cyber Security standard</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CER</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Clinical Evaluation Report</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DHA</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Dubai Health Authority</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DHCC</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Dubai Healthcare City</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DoH</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Department of Health (Abu Dhabi)</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DSP</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Dubai Science Park</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FSC</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Free Sale Certificate</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GCC</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Gulf Cooperation Council (UAE, KSA, Kuwait, Bahrain, Qatar, Oman)</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IEC</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International Electrotechnical Commission (62304: software lifecycle; 62366: usability)</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IMDRF</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International Medical Device Regulators Forum</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ISO</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International Organization for Standardization (13485: QMS; 14971: risk; 27001: infosec)</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MDRC</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Medical Device Registration Certificate</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MoHAP</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Ministry of Health and Prevention (UAE federal)</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NESA / SIA</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National Electronic Security Authority / Signals Intelligence Agency</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PDPL</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Personal Data Protection Law (UAE Federal Decree-Law 45/2021)</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RWE</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Real-World Evidence</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SaMD</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Software as a Medical Device</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SBOM</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Software Bill of Materials</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SFDA</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Saudi Food and Drug Authority</w:t>
            </w:r>
          </w:p>
        </w:tc>
      </w:tr>
      <w:tr>
        <w:tc>
          <w:tcPr>
            <w:tcW w:type="dxa" w:w="17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pPr>
              <w:spacing w:after="60" w:before="60" w:line="300"/>
            </w:pPr>
            <w:r>
              <w:rPr>
                <w:rFonts w:ascii="Calibri" w:cs="Calibri" w:eastAsia="Calibri" w:hAnsi="Calibri"/>
                <w:b/>
                <w:bCs/>
                <w:color w:val="0A2540"/>
                <w:sz w:val="21"/>
                <w:szCs w:val="21"/>
              </w:rPr>
              <w:t xml:space="preserve">TDF</w:t>
            </w:r>
          </w:p>
        </w:tc>
        <w:tc>
          <w:tcPr>
            <w:tcW w:type="dxa" w:w="766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60" w:before="60" w:line="300"/>
            </w:pPr>
            <w:r>
              <w:rPr>
                <w:rFonts w:ascii="Calibri" w:cs="Calibri" w:eastAsia="Calibri" w:hAnsi="Calibri"/>
                <w:color w:val="1F2937"/>
                <w:sz w:val="21"/>
                <w:szCs w:val="21"/>
              </w:rPr>
              <w:t xml:space="preserve">Technical Documentation File</w:t>
            </w:r>
          </w:p>
        </w:tc>
      </w:tr>
    </w:tbl>
    <w:p>
      <w:pPr>
        <w:pStyle w:val="Heading1"/>
        <w:spacing w:after="180" w:before="360"/>
      </w:pPr>
      <w:r>
        <w:rPr>
          <w:rFonts w:ascii="Calibri" w:cs="Calibri" w:eastAsia="Calibri" w:hAnsi="Calibri"/>
          <w:b/>
          <w:bCs/>
          <w:color w:val="0A2540"/>
          <w:sz w:val="32"/>
          <w:szCs w:val="32"/>
        </w:rPr>
        <w:t xml:space="preserve">Appendix B — Regulatory Decision Log Template</w:t>
      </w:r>
    </w:p>
    <w:p>
      <w:pPr>
        <w:spacing w:after="60" w:before="60" w:line="300"/>
      </w:pPr>
      <w:r>
        <w:rPr>
          <w:rFonts w:ascii="Calibri" w:cs="Calibri" w:eastAsia="Calibri" w:hAnsi="Calibri"/>
          <w:color w:val="1F2937"/>
          <w:sz w:val="22"/>
          <w:szCs w:val="22"/>
        </w:rPr>
        <w:t xml:space="preserve">Maintain a single regulatory decision log from Day 1. Every classification opinion, every consultant memo, every email exchange with MoHAP/DHA goes in this log. It becomes the living evidence for the Technical Documentation File and protects the company in the event of audit, dispute, or staff turnover.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Field</w:t>
            </w:r>
          </w:p>
        </w:tc>
        <w:tc>
          <w:tcPr>
            <w:tcW w:type="dxa" w:w="7160"/>
            <w:tcBorders>
              <w:top w:val="single" w:color="0A2540" w:sz="4"/>
              <w:left w:val="single" w:color="0A2540" w:sz="4"/>
              <w:bottom w:val="single" w:color="0A2540" w:sz="4"/>
              <w:right w:val="single" w:color="0A2540" w:sz="4"/>
            </w:tcBorders>
            <w:shd w:fill="0A2540" w:val="clear"/>
            <w:tcMar>
              <w:top w:type="dxa" w:w="100"/>
              <w:left w:type="dxa" w:w="140"/>
              <w:bottom w:type="dxa" w:w="100"/>
              <w:right w:type="dxa" w:w="140"/>
            </w:tcMar>
          </w:tcPr>
          <w:p>
            <w:pPr>
              <w:spacing w:after="60" w:before="60" w:line="300"/>
            </w:pPr>
            <w:r>
              <w:rPr>
                <w:rFonts w:ascii="Calibri" w:cs="Calibri" w:eastAsia="Calibri" w:hAnsi="Calibri"/>
                <w:b/>
                <w:bCs/>
                <w:color w:val="FFFFFF"/>
                <w:sz w:val="21"/>
                <w:szCs w:val="21"/>
              </w:rPr>
              <w:t xml:space="preserve">Description</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Decision ID</w:t>
            </w:r>
          </w:p>
        </w:tc>
        <w:tc>
          <w:tcPr>
            <w:tcW w:type="dxa" w:w="7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Sequential (REG-001, REG-002...)</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Date</w:t>
            </w:r>
          </w:p>
        </w:tc>
        <w:tc>
          <w:tcPr>
            <w:tcW w:type="dxa" w:w="7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ISO 8601</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Topic</w:t>
            </w:r>
          </w:p>
        </w:tc>
        <w:tc>
          <w:tcPr>
            <w:tcW w:type="dxa" w:w="7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Brief title (e.g., 'Classification of pediatric balance module')</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Question</w:t>
            </w:r>
          </w:p>
        </w:tc>
        <w:tc>
          <w:tcPr>
            <w:tcW w:type="dxa" w:w="7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What was being decided</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Options considered</w:t>
            </w:r>
          </w:p>
        </w:tc>
        <w:tc>
          <w:tcPr>
            <w:tcW w:type="dxa" w:w="7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Bullet list</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Decision</w:t>
            </w:r>
          </w:p>
        </w:tc>
        <w:tc>
          <w:tcPr>
            <w:tcW w:type="dxa" w:w="7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What was chosen and rationale</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Authority basis</w:t>
            </w:r>
          </w:p>
        </w:tc>
        <w:tc>
          <w:tcPr>
            <w:tcW w:type="dxa" w:w="7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Citation of regulation/standard</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Decision-maker</w:t>
            </w:r>
          </w:p>
        </w:tc>
        <w:tc>
          <w:tcPr>
            <w:tcW w:type="dxa" w:w="7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Name and role</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Reviewers</w:t>
            </w:r>
          </w:p>
        </w:tc>
        <w:tc>
          <w:tcPr>
            <w:tcW w:type="dxa" w:w="7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Names</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Linked artifacts</w:t>
            </w:r>
          </w:p>
        </w:tc>
        <w:tc>
          <w:tcPr>
            <w:tcW w:type="dxa" w:w="7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Email IDs, document filenames</w:t>
            </w:r>
          </w:p>
        </w:tc>
      </w:tr>
      <w:tr>
        <w:tc>
          <w:tcPr>
            <w:tcW w:type="dxa" w:w="220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Review date</w:t>
            </w:r>
          </w:p>
        </w:tc>
        <w:tc>
          <w:tcPr>
            <w:tcW w:type="dxa" w:w="7160"/>
            <w:tcBorders>
              <w:top w:val="single" w:color="E2E8F0" w:sz="4"/>
              <w:left w:val="single" w:color="E2E8F0" w:sz="4"/>
              <w:bottom w:val="single" w:color="E2E8F0" w:sz="4"/>
              <w:right w:val="single" w:color="E2E8F0" w:sz="4"/>
            </w:tcBorders>
            <w:tcMar>
              <w:top w:type="dxa" w:w="90"/>
              <w:left w:type="dxa" w:w="140"/>
              <w:bottom w:type="dxa" w:w="90"/>
              <w:right w:type="dxa" w:w="140"/>
            </w:tcMar>
          </w:tcPr>
          <w:p>
            <w:pPr>
              <w:spacing w:after="60" w:before="60" w:line="300"/>
            </w:pPr>
            <w:r>
              <w:rPr>
                <w:rFonts w:ascii="Calibri" w:cs="Calibri" w:eastAsia="Calibri" w:hAnsi="Calibri"/>
                <w:color w:val="1F2937"/>
                <w:sz w:val="20"/>
                <w:szCs w:val="20"/>
              </w:rPr>
              <w:t xml:space="preserve">When this decision will be revisited</w:t>
            </w:r>
          </w:p>
        </w:tc>
      </w:tr>
    </w:tbl>
    <w:p>
      <w:pPr>
        <w:spacing w:after="60" w:before="60" w:line="300"/>
      </w:pPr>
      <w:r>
        <w:rPr>
          <w:rFonts w:ascii="Calibri" w:cs="Calibri" w:eastAsia="Calibri" w:hAnsi="Calibri"/>
          <w:color w:val="1F2937"/>
          <w:sz w:val="22"/>
          <w:szCs w:val="22"/>
        </w:rPr>
        <w:t xml:space="preserve"/>
      </w:r>
    </w:p>
    <w:p>
      <w:pPr>
        <w:pBdr>
          <w:bottom w:val="single" w:color="E2E8F0" w:sz="6" w:space="1"/>
        </w:pBdr>
        <w:spacing w:after="120" w:before="120"/>
      </w:pPr>
      <w:r>
        <w:t xml:space="preserve"/>
      </w:r>
    </w:p>
    <w:p>
      <w:pPr>
        <w:spacing w:after="60" w:before="60" w:line="300"/>
        <w:jc w:val="center"/>
      </w:pPr>
      <w:r>
        <w:rPr>
          <w:rFonts w:ascii="Calibri" w:cs="Calibri" w:eastAsia="Calibri" w:hAnsi="Calibri"/>
          <w:i/>
          <w:iCs/>
          <w:color w:val="64748B"/>
          <w:sz w:val="18"/>
          <w:szCs w:val="18"/>
        </w:rPr>
        <w:t xml:space="preserve">End of document  ·  CUVR DHA Regulatory Pathway  ·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CUVR  ·  DHA Regulatory Pathway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A2540"/>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A2540"/>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0A68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CUVR DHA Regulatory Pathway</dc:title>
  <dc:creator>CUVR</dc:creator>
  <cp:lastModifiedBy>Un-named</cp:lastModifiedBy>
  <cp:revision>1</cp:revision>
  <dcterms:created xsi:type="dcterms:W3CDTF">2026-04-28T15:55:25.855Z</dcterms:created>
  <dcterms:modified xsi:type="dcterms:W3CDTF">2026-04-28T15:55:25.855Z</dcterms:modified>
</cp:coreProperties>
</file>

<file path=docProps/custom.xml><?xml version="1.0" encoding="utf-8"?>
<Properties xmlns="http://schemas.openxmlformats.org/officeDocument/2006/custom-properties" xmlns:vt="http://schemas.openxmlformats.org/officeDocument/2006/docPropsVTypes"/>
</file>