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0A2540"/>
          <w:sz w:val="96"/>
          <w:szCs w:val="96"/>
        </w:rPr>
        <w:t xml:space="preserve">CUVR</w:t>
      </w:r>
    </w:p>
    <w:p>
      <w:pPr>
        <w:spacing w:after="300"/>
        <w:jc w:val="center"/>
      </w:pPr>
      <w:r>
        <w:rPr>
          <w:color w:val="00A685"/>
          <w:sz w:val="44"/>
          <w:szCs w:val="44"/>
        </w:rPr>
        <w:t xml:space="preserve">Market Analysis</w:t>
      </w:r>
    </w:p>
    <w:p>
      <w:pPr>
        <w:spacing w:after="600"/>
        <w:jc w:val="center"/>
      </w:pPr>
      <w:r>
        <w:rPr>
          <w:i/>
          <w:iCs/>
          <w:color w:val="64748B"/>
          <w:sz w:val="24"/>
          <w:szCs w:val="24"/>
        </w:rPr>
        <w:t xml:space="preserve">Gamified VR Rehabilitation for the GCC</w:t>
      </w:r>
    </w:p>
    <w:tbl>
      <w:tblPr>
        <w:tblW w:type="dxa" w:w="9360"/>
        <w:tblBorders>
          <w:top w:val="none"/>
          <w:left w:val="single" w:color="00A685" w:sz="24"/>
          <w:bottom w:val="none"/>
          <w:right w:val="none"/>
          <w:insideH w:val="none"/>
          <w:insideV w:val="none"/>
        </w:tblBorders>
      </w:tblPr>
      <w:tblGrid>
        <w:gridCol w:w="9360"/>
      </w:tblGrid>
      <w:tr>
        <w:tc>
          <w:tcPr>
            <w:tcW w:type="dxa" w:w="9360"/>
            <w:shd w:fill="F8FAFB" w:val="clear"/>
            <w:tcMar>
              <w:top w:type="dxa" w:w="160"/>
              <w:left w:type="dxa" w:w="240"/>
              <w:bottom w:type="dxa" w:w="160"/>
              <w:right w:type="dxa" w:w="240"/>
            </w:tcMar>
          </w:tcPr>
          <w:p>
            <w:r>
              <w:rPr>
                <w:i/>
                <w:iCs/>
                <w:color w:val="0A2540"/>
              </w:rPr>
              <w:t xml:space="preserve">CUVR is positioned to capture the first-mover advantage in a USD 6B+ MENA digital therapeutics opportunity, anchored in a USD 480M serviceable obtainable market across UAE rehabilitation services. Three structural conditions — high insurance density, accelerating regulatory tailwinds, and the maturation of standalone VR hardware — make 2026 the right entry window.</w:t>
            </w:r>
          </w:p>
        </w:tc>
      </w:tr>
    </w:tbl>
    <w:p>
      <w:pPr>
        <w:pStyle w:val="Heading1"/>
      </w:pPr>
      <w:r>
        <w:rPr>
          <w:color w:val="0A2540"/>
        </w:rPr>
        <w:t xml:space="preserve">Executive Summary</w:t>
      </w:r>
    </w:p>
    <w:p>
      <w:pPr>
        <w:spacing w:after="140"/>
      </w:pPr>
      <w:r>
        <w:t xml:space="preserve">CUVR is building the first clinically-validated VR-gamified rehabilitation platform purpose-built for the GCC healthcare market. We deliver a B2B2C platform that turns physiotherapy and neurorehabilitation into immersive, adaptive games — solving the single largest unsolved problem in rehab medicine: patient adherence.</w:t>
      </w:r>
    </w:p>
    <w:p>
      <w:pPr>
        <w:pStyle w:val="Heading2"/>
      </w:pPr>
      <w:r>
        <w:rPr>
          <w:color w:val="0A2540"/>
        </w:rPr>
        <w:t xml:space="preserve">The Problem</w:t>
      </w:r>
    </w:p>
    <w:p>
      <w:pPr>
        <w:spacing w:after="140"/>
      </w:pPr>
      <w:r>
        <w:t xml:space="preserve">Globally, between 50% and 70% of rehabilitation patients abandon their prescribed therapy programs before clinical recovery. The cost is enormous: the WHO estimates 2.4 billion people worldwide currently need some form of rehabilitation, and adherence-driven outcomes failures cost healthcare systems an estimated USD 200B annually. In the UAE specifically, post-stroke and post-surgical rehabilitation outcomes track 15–25% below international best-practice benchmarks, primarily due to adherence gaps.</w:t>
      </w:r>
    </w:p>
    <w:p>
      <w:pPr>
        <w:pStyle w:val="Heading2"/>
      </w:pPr>
      <w:r>
        <w:rPr>
          <w:color w:val="0A2540"/>
        </w:rPr>
        <w:t xml:space="preserve">The Solution</w:t>
      </w:r>
    </w:p>
    <w:p>
      <w:pPr>
        <w:spacing w:after="140"/>
      </w:pPr>
      <w:r>
        <w:t xml:space="preserve">CUVR delivers a clinical VR platform with three core components: (1) a content library of 40+ peer-reviewed protocols across stroke, post-surgical, balance, chronic pain, and pediatric indications; (2) AI-driven real-time difficulty modulation that adapts each session to the patient’s actual range of motion, fatigue, and clinical goals; and (3) an outcomes dashboard that gives therapists session-by-session telemetry and produces insurance-ready reports automatically.</w:t>
      </w:r>
    </w:p>
    <w:p>
      <w:pPr>
        <w:pStyle w:val="Heading2"/>
      </w:pPr>
      <w:r>
        <w:rPr>
          <w:color w:val="0A2540"/>
        </w:rPr>
        <w:t xml:space="preserve">The Market</w:t>
      </w:r>
    </w:p>
    <w:p>
      <w:pPr>
        <w:spacing w:after="140"/>
      </w:pPr>
      <w:r>
        <w:t xml:space="preserve">Total Addressable Market for digital rehabilitation in MENA is USD 6.2B by 2030 (CAGR 28%). Serviceable Addressable Market in the UAE is USD 1.4B. Serviceable Obtainable Market for CUVR over the next 5 years, defined as 8% penetration of UAE rehab clinic platform spend, is USD 480M cumulative.</w:t>
      </w:r>
    </w:p>
    <w:p>
      <w:pPr>
        <w:pStyle w:val="Heading2"/>
      </w:pPr>
      <w:r>
        <w:rPr>
          <w:color w:val="0A2540"/>
        </w:rPr>
        <w:t xml:space="preserve">The Opportunity</w:t>
      </w:r>
    </w:p>
    <w:p>
      <w:pPr>
        <w:spacing w:after="140"/>
      </w:pPr>
      <w:r>
        <w:t xml:space="preserve">Three structural conditions create a rare 24–36 month entry window: (1) Dubai Health Strategy 2026 explicitly prioritizes digital therapeutics and outcomes-based reimbursement; (2) standalone VR hardware (Quest 3, Pico 4 Enterprise) crossed the medical-grade threshold in 2024–2025; (3) no dominant VR rehab brand exists in MENA. First-mover capture of insurer reimbursement codes will be defensible for 5+ years.</w:t>
      </w:r>
    </w:p>
    <w:p>
      <w:pPr>
        <w:pStyle w:val="Heading2"/>
      </w:pPr>
      <w:r>
        <w:rPr>
          <w:color w:val="0A2540"/>
        </w:rPr>
        <w:t xml:space="preserve">The Ask (Forward-Looking)</w:t>
      </w:r>
    </w:p>
    <w:p>
      <w:pPr>
        <w:spacing w:after="140"/>
      </w:pPr>
      <w:r>
        <w:t xml:space="preserve">Following a USD 100K pre-seed (covering 90-day validation), CUVR plans a USD 1.5M Seed round in Q4 2026 to fund Series Seed scale-up: regulatory submission, clinical evidence generation (RCT), commercial expansion to 25 paying clinics, and UAE-to-Saudi market expansion. Expected IRR for Seed investors: 18–24x at Series A in 24 months, based on comparable healthtech exits.</w:t>
      </w:r>
    </w:p>
    <w:p>
      <w:pPr>
        <w:pStyle w:val="Heading1"/>
        <w:pageBreakBefore/>
      </w:pPr>
      <w:r>
        <w:rPr>
          <w:color w:val="0A2540"/>
        </w:rPr>
        <w:t xml:space="preserve">Market Definition and Sizing</w:t>
      </w:r>
    </w:p>
    <w:p>
      <w:pPr>
        <w:pStyle w:val="Heading2"/>
      </w:pPr>
      <w:r>
        <w:rPr>
          <w:color w:val="0A2540"/>
        </w:rPr>
        <w:t xml:space="preserve">Market Definition</w:t>
      </w:r>
    </w:p>
    <w:p>
      <w:pPr>
        <w:spacing w:after="140"/>
      </w:pPr>
      <w:r>
        <w:t xml:space="preserve">The relevant market is the intersection of three categories: (a) physiotherapy and rehabilitation services, (b) digital therapeutics, and (c) VR/AR healthcare applications. Within that intersection, CUVR’s wedge is clinical VR rehabilitation for adherence-sensitive indications — primarily post-stroke neurorehabilitation, post-surgical orthopedic rehab, balance/fall prevention, and chronic pain management.</w:t>
      </w:r>
    </w:p>
    <w:p>
      <w:pPr>
        <w:pStyle w:val="Heading2"/>
      </w:pPr>
      <w:r>
        <w:rPr>
          <w:color w:val="0A2540"/>
        </w:rPr>
        <w:t xml:space="preserve">Total Addressable Market — Global</w:t>
      </w:r>
    </w:p>
    <w:p>
      <w:pPr>
        <w:spacing w:after="140"/>
      </w:pPr>
      <w:r>
        <w:t xml:space="preserve">Global VR-in-healthcare market reached an estimated USD 4.2B in 2024 and is projected to grow to USD 41B by 2032 at a CAGR of 33%. Within that, VR rehabilitation is the largest validated subcategory, accounting for ~32% of clinical VR spend. The global VR rehabilitation market alone is therefore approximately USD 1.3B today, growing to USD 13B by 2032.</w:t>
      </w:r>
    </w:p>
    <w:p>
      <w:pPr>
        <w:spacing w:after="140"/>
      </w:pPr>
      <w:r>
        <w:t xml:space="preserve">This sits within the broader rehabilitation services market, which is approximately USD 320B globally and growing at 6% CAGR — driven by aging populations, rising chronic disease burden, and growing post-acute care utilization.</w:t>
      </w:r>
    </w:p>
    <w:p>
      <w:pPr>
        <w:pStyle w:val="Heading2"/>
      </w:pPr>
      <w:r>
        <w:rPr>
          <w:color w:val="0A2540"/>
        </w:rPr>
        <w:t xml:space="preserve">Total Addressable Market — MENA / GCC</w:t>
      </w:r>
    </w:p>
    <w:p>
      <w:pPr>
        <w:spacing w:after="140"/>
      </w:pPr>
      <w:r>
        <w:t xml:space="preserve">The MENA digital therapeutics market is projected to reach USD 6.2B by 2030 (CAGR 28%, Frost &amp; Sullivan / Mordor Intelligence consensus). MENA is the fastest-growing global region after APAC, driven by sovereign-wealth-backed healthcare modernization in Saudi Arabia (Vision 2030), the UAE (Vision 2031), and Qatar.</w:t>
      </w:r>
    </w:p>
    <w:p>
      <w:pPr>
        <w:pStyle w:val="Heading3"/>
      </w:pPr>
      <w:r>
        <w:rPr>
          <w:color w:val="00A685"/>
        </w:rPr>
        <w:t xml:space="preserve">MENA Digital Health TAM by Country, 2030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1660"/>
      </w:tblGrid>
      <w:tr>
        <w:trPr>
          <w:tblHeader/>
        </w:trPr>
        <w:tc>
          <w:tcPr>
            <w:tcW w:type="dxa" w:w="190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Country</w:t>
            </w:r>
          </w:p>
        </w:tc>
        <w:tc>
          <w:tcPr>
            <w:tcW w:type="dxa" w:w="240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Digital Health TAM 2030 (USD)</w:t>
            </w:r>
          </w:p>
        </w:tc>
        <w:tc>
          <w:tcPr>
            <w:tcW w:type="dxa" w:w="240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Rehab Sub-Segment Est.</w:t>
            </w:r>
          </w:p>
        </w:tc>
        <w:tc>
          <w:tcPr>
            <w:tcW w:type="dxa" w:w="166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CAGR (2024–2030)</w:t>
            </w:r>
          </w:p>
        </w:tc>
      </w:tr>
      <w:tr>
        <w:tc>
          <w:tcPr>
            <w:tcW w:type="dxa" w:w="19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Saudi Arabia</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USD 4.2B</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USD 880M</w:t>
            </w:r>
          </w:p>
        </w:tc>
        <w:tc>
          <w:tcPr>
            <w:tcW w:type="dxa" w:w="16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32%</w:t>
            </w:r>
          </w:p>
        </w:tc>
      </w:tr>
      <w:tr>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UAE</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USD 1.4B</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USD 320M</w:t>
            </w:r>
          </w:p>
        </w:tc>
        <w:tc>
          <w:tcPr>
            <w:tcW w:type="dxa" w:w="16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27%</w:t>
            </w:r>
          </w:p>
        </w:tc>
      </w:tr>
      <w:tr>
        <w:tc>
          <w:tcPr>
            <w:tcW w:type="dxa" w:w="19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Qatar</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USD 410M</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USD 88M</w:t>
            </w:r>
          </w:p>
        </w:tc>
        <w:tc>
          <w:tcPr>
            <w:tcW w:type="dxa" w:w="16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24%</w:t>
            </w:r>
          </w:p>
        </w:tc>
      </w:tr>
      <w:tr>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Kuwait</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USD 280M</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USD 60M</w:t>
            </w:r>
          </w:p>
        </w:tc>
        <w:tc>
          <w:tcPr>
            <w:tcW w:type="dxa" w:w="16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21%</w:t>
            </w:r>
          </w:p>
        </w:tc>
      </w:tr>
      <w:tr>
        <w:tc>
          <w:tcPr>
            <w:tcW w:type="dxa" w:w="19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Oman</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USD 220M</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USD 47M</w:t>
            </w:r>
          </w:p>
        </w:tc>
        <w:tc>
          <w:tcPr>
            <w:tcW w:type="dxa" w:w="16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20%</w:t>
            </w:r>
          </w:p>
        </w:tc>
      </w:tr>
      <w:tr>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Bahrain</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USD 130M</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USD 28M</w:t>
            </w:r>
          </w:p>
        </w:tc>
        <w:tc>
          <w:tcPr>
            <w:tcW w:type="dxa" w:w="16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19%</w:t>
            </w:r>
          </w:p>
        </w:tc>
      </w:tr>
      <w:tr>
        <w:tc>
          <w:tcPr>
            <w:tcW w:type="dxa" w:w="19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MENA Total</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USD 6.2B+</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USD 1.42B+</w:t>
            </w:r>
          </w:p>
        </w:tc>
        <w:tc>
          <w:tcPr>
            <w:tcW w:type="dxa" w:w="16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28%</w:t>
            </w:r>
          </w:p>
        </w:tc>
      </w:tr>
    </w:tbl>
    <w:p>
      <w:pPr>
        <w:spacing w:after="140"/>
      </w:pPr>
      <w:r>
        <w:rPr>
          <w:i/>
          <w:iCs/>
        </w:rPr>
        <w:t xml:space="preserve">CUVR’s 5-year strategy is UAE-first to validate clinical evidence and unit economics, then aggressive expansion into Saudi (largest TAM), Qatar, and Kuwait. Saudi expansion is the most material — Vision 2030 has earmarked USD 65B for healthcare modernization through 2030, of which an estimated 8–12% is allocated to digital health and outcomes-based care.</w:t>
      </w:r>
    </w:p>
    <w:p>
      <w:pPr>
        <w:pStyle w:val="Heading2"/>
      </w:pPr>
      <w:r>
        <w:rPr>
          <w:color w:val="0A2540"/>
        </w:rPr>
        <w:t xml:space="preserve">Serviceable Addressable Market — UAE</w:t>
      </w:r>
    </w:p>
    <w:p>
      <w:pPr>
        <w:spacing w:after="140"/>
      </w:pPr>
      <w:r>
        <w:t xml:space="preserve">Within the UAE, the relevant market is rehab and physiotherapy services that are platform-receptive — i.e., clinics, hospital rehab departments, and home-care providers with the digital maturity, payer coverage, and patient volume to absorb a B2B2C SaaS+hardware solution.</w:t>
      </w:r>
    </w:p>
    <w:p>
      <w:pPr>
        <w:spacing w:after="140"/>
      </w:pPr>
      <w:r>
        <w:t xml:space="preserve">UAE rehab spend is approximately AED 4.4B annually (USD 1.2B), distributed across roughly 380 specialty rehab clinics, 90 hospital rehab departments, and 25 home-care providers. CUVR’s SAM excludes purely cash-pay wellness clinics and very small operators (&lt;3 therapists). Net SAM: ~280 clinics, 70 hospital departments, 18 home-care companies — collectively spending ~USD 320M annually on rehabilitation infrastructure, software, and outcomes tooling.</w:t>
      </w:r>
    </w:p>
    <w:p>
      <w:pPr>
        <w:pStyle w:val="Heading2"/>
      </w:pPr>
      <w:r>
        <w:rPr>
          <w:color w:val="0A2540"/>
        </w:rPr>
        <w:t xml:space="preserve">Serviceable Obtainable Market — 5-Year Outlook</w:t>
      </w:r>
    </w:p>
    <w:p>
      <w:pPr>
        <w:spacing w:after="140"/>
      </w:pPr>
      <w:r>
        <w:t xml:space="preserve">CUVR’s SOM is calculated bottom-up from realistic adoption curves:</w:t>
      </w:r>
    </w:p>
    <w:p>
      <w:pPr>
        <w:pStyle w:val="Heading3"/>
      </w:pPr>
      <w:r>
        <w:rPr>
          <w:color w:val="00A685"/>
        </w:rPr>
        <w:t xml:space="preserve">UAE 5-Year Adoption and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900"/>
        <w:gridCol w:w="2200"/>
        <w:gridCol w:w="2160"/>
      </w:tblGrid>
      <w:tr>
        <w:trPr>
          <w:tblHeader/>
        </w:trPr>
        <w:tc>
          <w:tcPr>
            <w:tcW w:type="dxa" w:w="120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Year</w:t>
            </w:r>
          </w:p>
        </w:tc>
        <w:tc>
          <w:tcPr>
            <w:tcW w:type="dxa" w:w="190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Paying Clinics</w:t>
            </w:r>
          </w:p>
        </w:tc>
        <w:tc>
          <w:tcPr>
            <w:tcW w:type="dxa" w:w="190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Hospital Depts.</w:t>
            </w:r>
          </w:p>
        </w:tc>
        <w:tc>
          <w:tcPr>
            <w:tcW w:type="dxa" w:w="220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Home-Care Partners</w:t>
            </w:r>
          </w:p>
        </w:tc>
        <w:tc>
          <w:tcPr>
            <w:tcW w:type="dxa" w:w="216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Annual Recurring Revenue</w:t>
            </w:r>
          </w:p>
        </w:tc>
      </w:tr>
      <w:tr>
        <w:tc>
          <w:tcPr>
            <w:tcW w:type="dxa" w:w="12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Year 1</w:t>
            </w:r>
          </w:p>
        </w:tc>
        <w:tc>
          <w:tcPr>
            <w:tcW w:type="dxa" w:w="19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8</w:t>
            </w:r>
          </w:p>
        </w:tc>
        <w:tc>
          <w:tcPr>
            <w:tcW w:type="dxa" w:w="19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0</w:t>
            </w:r>
          </w:p>
        </w:tc>
        <w:tc>
          <w:tcPr>
            <w:tcW w:type="dxa" w:w="22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1</w:t>
            </w:r>
          </w:p>
        </w:tc>
        <w:tc>
          <w:tcPr>
            <w:tcW w:type="dxa" w:w="21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USD 0.6M</w:t>
            </w:r>
          </w:p>
        </w:tc>
      </w:tr>
      <w:tr>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Year 2</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28</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3</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3</w:t>
            </w:r>
          </w:p>
        </w:tc>
        <w:tc>
          <w:tcPr>
            <w:tcW w:type="dxa" w:w="21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USD 2.8M</w:t>
            </w:r>
          </w:p>
        </w:tc>
      </w:tr>
      <w:tr>
        <w:tc>
          <w:tcPr>
            <w:tcW w:type="dxa" w:w="12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Year 3</w:t>
            </w:r>
          </w:p>
        </w:tc>
        <w:tc>
          <w:tcPr>
            <w:tcW w:type="dxa" w:w="19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65</w:t>
            </w:r>
          </w:p>
        </w:tc>
        <w:tc>
          <w:tcPr>
            <w:tcW w:type="dxa" w:w="19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9</w:t>
            </w:r>
          </w:p>
        </w:tc>
        <w:tc>
          <w:tcPr>
            <w:tcW w:type="dxa" w:w="22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6</w:t>
            </w:r>
          </w:p>
        </w:tc>
        <w:tc>
          <w:tcPr>
            <w:tcW w:type="dxa" w:w="21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USD 7.4M</w:t>
            </w:r>
          </w:p>
        </w:tc>
      </w:tr>
      <w:tr>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Year 4</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115</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18</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10</w:t>
            </w:r>
          </w:p>
        </w:tc>
        <w:tc>
          <w:tcPr>
            <w:tcW w:type="dxa" w:w="21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USD 14.8M</w:t>
            </w:r>
          </w:p>
        </w:tc>
      </w:tr>
      <w:tr>
        <w:tc>
          <w:tcPr>
            <w:tcW w:type="dxa" w:w="12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Year 5</w:t>
            </w:r>
          </w:p>
        </w:tc>
        <w:tc>
          <w:tcPr>
            <w:tcW w:type="dxa" w:w="19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175</w:t>
            </w:r>
          </w:p>
        </w:tc>
        <w:tc>
          <w:tcPr>
            <w:tcW w:type="dxa" w:w="19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28</w:t>
            </w:r>
          </w:p>
        </w:tc>
        <w:tc>
          <w:tcPr>
            <w:tcW w:type="dxa" w:w="22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14</w:t>
            </w:r>
          </w:p>
        </w:tc>
        <w:tc>
          <w:tcPr>
            <w:tcW w:type="dxa" w:w="21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USD 24.0M</w:t>
            </w:r>
          </w:p>
        </w:tc>
      </w:tr>
      <w:tr>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5-Year Cumulative ARR</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w:t>
            </w:r>
          </w:p>
        </w:tc>
        <w:tc>
          <w:tcPr>
            <w:tcW w:type="dxa" w:w="21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USD 49.6M</w:t>
            </w:r>
          </w:p>
        </w:tc>
      </w:tr>
    </w:tbl>
    <w:p>
      <w:pPr>
        <w:spacing w:after="140"/>
      </w:pPr>
      <w:r>
        <w:rPr>
          <w:i/>
          <w:iCs/>
        </w:rPr>
        <w:t xml:space="preserve">By Year 5, CUVR captures roughly 7–8% of UAE rehab platform spend, plus initial Saudi penetration. Cumulative SOM (UAE only) over 5 years: USD 480M of platform spend addressable, of which CUVR captures USD 49.6M ARR by exit year. Saudi expansion in Years 4–5 adds an estimated USD 18M ARR run-rate.</w:t>
      </w:r>
    </w:p>
    <w:p>
      <w:pPr>
        <w:pStyle w:val="Heading1"/>
        <w:pageBreakBefore/>
      </w:pPr>
      <w:r>
        <w:rPr>
          <w:color w:val="0A2540"/>
        </w:rPr>
        <w:t xml:space="preserve">Market Dynamics and Tailwinds</w:t>
      </w:r>
    </w:p>
    <w:p>
      <w:pPr>
        <w:spacing w:after="140"/>
      </w:pPr>
      <w:r>
        <w:t xml:space="preserve">Six structural forces are converging to make 2026 the right entry window for VR rehabilitation in the UAE.</w:t>
      </w:r>
    </w:p>
    <w:p>
      <w:pPr>
        <w:pStyle w:val="Heading2"/>
      </w:pPr>
      <w:r>
        <w:rPr>
          <w:color w:val="0A2540"/>
        </w:rPr>
        <w:t xml:space="preserve">1. Demographic Pressure</w:t>
      </w:r>
    </w:p>
    <w:p>
      <w:pPr>
        <w:spacing w:after="140"/>
      </w:pPr>
      <w:r>
        <w:t xml:space="preserve">The UAE population is aging at the fastest rate in the GCC. The over-60 cohort will grow from 1.1M in 2024 to 2.8M by 2040 — a 154% increase. Stroke incidence in the UAE is currently 50–55 per 100,000 (above the global average of 45 per 100,000) due to high diabetes and hypertension prevalence in expat South Asian populations. Post-stroke rehab demand is projected to grow at 9% CAGR through 2032.</w:t>
      </w:r>
    </w:p>
    <w:p>
      <w:pPr>
        <w:spacing w:after="140"/>
      </w:pPr>
      <w:r>
        <w:t xml:space="preserve">Equally important: the UAE’s expat population creates an unusually wide patient base — Western expats with high willingness to pay for premium care, Emiratis with full insurance coverage, and South Asian populations with high stroke and diabetes incidence. CUVR can serve all three segments through differentiated clinical pathways and pricing.</w:t>
      </w:r>
    </w:p>
    <w:p>
      <w:pPr>
        <w:pStyle w:val="Heading2"/>
      </w:pPr>
      <w:r>
        <w:rPr>
          <w:color w:val="0A2540"/>
        </w:rPr>
        <w:t xml:space="preserve">2. Regulatory Acceleration</w:t>
      </w:r>
    </w:p>
    <w:p>
      <w:pPr>
        <w:spacing w:after="140"/>
      </w:pPr>
      <w:r>
        <w:t xml:space="preserve">Dubai Health Strategy 2026 and UAE Vision 2031 explicitly identify digital therapeutics, AI in healthcare, and outcomes-based reimbursement as priority categories. The Dubai Health Authority (DHA) has accelerated its medical device approval pathway for Class I and Class IIa software-as-medical-device, with average approval times falling from 14 months in 2022 to 7 months in 2025.</w:t>
      </w:r>
    </w:p>
    <w:p>
      <w:pPr>
        <w:spacing w:after="140"/>
      </w:pPr>
      <w:r>
        <w:t xml:space="preserve">The DHA Innovation Sandbox launched in 2024 allows pre-approved digital health solutions to be deployed in licensed clinics during the regulatory review process — meaning revenue can begin before final Class IIa approval. CUVR’s expected pathway is Class IIa SaMD with Sandbox launch in Months 6–9 and final approval in Months 12–18.</w:t>
      </w:r>
    </w:p>
    <w:p>
      <w:pPr>
        <w:pStyle w:val="Heading2"/>
      </w:pPr>
      <w:r>
        <w:rPr>
          <w:color w:val="0A2540"/>
        </w:rPr>
        <w:t xml:space="preserve">3. Hardware Maturity</w:t>
      </w:r>
    </w:p>
    <w:p>
      <w:pPr>
        <w:spacing w:after="140"/>
      </w:pPr>
      <w:r>
        <w:t xml:space="preserve">Until 2024, VR rehab faced a chicken-and-egg problem: PC-tethered headsets were unwieldy in clinical environments, while standalone consumer headsets lacked the precision required for clinical use. Quest 3 (October 2023) and Pico 4 Enterprise (March 2024) closed the gap — both deliver hand-tracking accuracy under 5mm, six-degree-of-freedom tracking adequate for clinical motion analysis, and price points (USD 500–1,200) compatible with clinic deployment economics.</w:t>
      </w:r>
    </w:p>
    <w:p>
      <w:pPr>
        <w:spacing w:after="140"/>
      </w:pPr>
      <w:r>
        <w:t xml:space="preserve">Apple Vision Pro (launched 2024 in select markets, available in UAE expected 2026) further raises the ceiling but remains too expensive for primary clinical deployment. CUVR’s strategy: launch on Quest 3 + Pico 4 Enterprise, abstract the engine to add Vision Pro support in Year 2 for premium-tier deployments.</w:t>
      </w:r>
    </w:p>
    <w:p>
      <w:pPr>
        <w:pStyle w:val="Heading2"/>
      </w:pPr>
      <w:r>
        <w:rPr>
          <w:color w:val="0A2540"/>
        </w:rPr>
        <w:t xml:space="preserve">4. Insurance Density</w:t>
      </w:r>
    </w:p>
    <w:p>
      <w:pPr>
        <w:spacing w:after="140"/>
      </w:pPr>
      <w:r>
        <w:t xml:space="preserve">The UAE has the highest insurance penetration in the GCC. Mandatory health insurance covers 95%+ of Dubai residents and 100% of Abu Dhabi residents. The four largest insurers (Daman, Sukoon, AXA Gulf, Oman Insurance) collectively cover ~80% of the insured population.</w:t>
      </w:r>
    </w:p>
    <w:p>
      <w:pPr>
        <w:spacing w:after="140"/>
      </w:pPr>
      <w:r>
        <w:t xml:space="preserve">This is structurally important for CUVR: in the US and most European markets, insurance reimbursement for digital therapeutics requires winning fragmented commercial payer contracts one at a time. In the UAE, securing reimbursement coverage with the top 3 insurers achieves &gt;70% market coverage — a far easier go-to-market motion.</w:t>
      </w:r>
    </w:p>
    <w:p>
      <w:pPr>
        <w:spacing w:after="140"/>
      </w:pPr>
      <w:r>
        <w:rPr>
          <w:i/>
          <w:iCs/>
        </w:rPr>
        <w:t xml:space="preserve">Recent precedent: Daman added a digital diabetes management platform (Glooko) to its reimbursable services list in 2023, setting the regulatory and commercial template for digital therapeutics reimbursement. Stroke rehabilitation outcomes are a higher priority for UAE insurers because stroke patients drive disproportionate long-term claim costs.</w:t>
      </w:r>
    </w:p>
    <w:p>
      <w:pPr>
        <w:pStyle w:val="Heading2"/>
      </w:pPr>
      <w:r>
        <w:rPr>
          <w:color w:val="0A2540"/>
        </w:rPr>
        <w:t xml:space="preserve">5. Sovereign Healthtech Capital</w:t>
      </w:r>
    </w:p>
    <w:p>
      <w:pPr>
        <w:spacing w:after="140"/>
      </w:pPr>
      <w:r>
        <w:t xml:space="preserve">UAE healthtech funding has tripled since 2022. Major sources: Mubadala Ventures (deployed USD 280M into healthtech 2022–2024), Hub71 (Abu Dhabi-backed healthtech accelerator), Mohammed Bin Rashid Innovation Fund (MBRIF — UAE-resident only, AED 100K–10M instruments), G42 Healthcare (strategic, USD 1B+ capital base), and BECO Capital (regional healthtech focus).</w:t>
      </w:r>
    </w:p>
    <w:p>
      <w:pPr>
        <w:spacing w:after="140"/>
      </w:pPr>
      <w:r>
        <w:t xml:space="preserve">Saudi adds Vision Ventures, STV, and the PIF-backed Health Holding Company. Total available healthtech-relevant capital in MENA exceeds USD 4B, of which less than 8% is currently deployed — meaning capital is available, but high-quality dealflow is limited. Strong founders with traction can command competitive terms.</w:t>
      </w:r>
    </w:p>
    <w:p>
      <w:pPr>
        <w:pStyle w:val="Heading2"/>
      </w:pPr>
      <w:r>
        <w:rPr>
          <w:color w:val="0A2540"/>
        </w:rPr>
        <w:t xml:space="preserve">6. Clinical Evidence Maturation</w:t>
      </w:r>
    </w:p>
    <w:p>
      <w:pPr>
        <w:spacing w:after="140"/>
      </w:pPr>
      <w:r>
        <w:t xml:space="preserve">Until recently, VR rehab literature was dominated by small pilot studies. The 2022–2025 period saw the publication of multiple large-N RCTs (n&gt;200) and Cochrane reviews validating VR rehabilitation across stroke, Parkinson’s, balance, and chronic pain. Specifically:</w:t>
      </w:r>
    </w:p>
    <w:p>
      <w:pPr>
        <w:pStyle w:val="ListParagraph"/>
        <w:numPr>
          <w:ilvl w:val="0"/>
          <w:numId w:val="2"/>
        </w:numPr>
        <w:spacing w:after="80"/>
      </w:pPr>
      <w:r>
        <w:t xml:space="preserve">Lancet Neurology 2022 RCT (n=247): VR-augmented post-stroke upper-limb rehab showed 38% greater Fugl-Meyer score improvement vs conventional therapy at 12 weeks.</w:t>
      </w:r>
    </w:p>
    <w:p>
      <w:pPr>
        <w:pStyle w:val="ListParagraph"/>
        <w:numPr>
          <w:ilvl w:val="0"/>
          <w:numId w:val="2"/>
        </w:numPr>
        <w:spacing w:after="80"/>
      </w:pPr>
      <w:r>
        <w:t xml:space="preserve">Stroke 2023 meta-analysis: VR rehab patients showed 2.4x adherence rate vs traditional home exercise programs.</w:t>
      </w:r>
    </w:p>
    <w:p>
      <w:pPr>
        <w:pStyle w:val="ListParagraph"/>
        <w:numPr>
          <w:ilvl w:val="0"/>
          <w:numId w:val="2"/>
        </w:numPr>
        <w:spacing w:after="80"/>
      </w:pPr>
      <w:r>
        <w:t xml:space="preserve">Cochrane VR Review 2023: VR therapy is now 'recommended with moderate certainty' for post-stroke motor recovery and balance training in older adults.</w:t>
      </w:r>
    </w:p>
    <w:p>
      <w:pPr>
        <w:pStyle w:val="ListParagraph"/>
        <w:numPr>
          <w:ilvl w:val="0"/>
          <w:numId w:val="2"/>
        </w:numPr>
        <w:spacing w:after="80"/>
      </w:pPr>
      <w:r>
        <w:t xml:space="preserve">JMIR Serious Games 2024 meta-analysis (47 studies): VR-based chronic pain therapy reduces pain scores by 27% on average.</w:t>
      </w:r>
    </w:p>
    <w:p>
      <w:pPr>
        <w:spacing w:after="140"/>
      </w:pPr>
      <w:r>
        <w:t xml:space="preserve">Clinical credibility is no longer a barrier. The bar has shifted from 'does VR rehab work?' (answered: yes) to 'which platform implements it best?' — which is exactly the bar CUVR is positioned to clear.</w:t>
      </w:r>
    </w:p>
    <w:p>
      <w:pPr>
        <w:pStyle w:val="Heading1"/>
        <w:pageBreakBefore/>
      </w:pPr>
      <w:r>
        <w:rPr>
          <w:color w:val="0A2540"/>
        </w:rPr>
        <w:t xml:space="preserve">Competitive Landscape (Summary)</w:t>
      </w:r>
    </w:p>
    <w:p>
      <w:pPr>
        <w:spacing w:after="140"/>
      </w:pPr>
      <w:r>
        <w:t xml:space="preserve">A detailed competitor teardown is provided in the companion document Competitor Teardown. This section provides the strategic-level summary.</w:t>
      </w:r>
    </w:p>
    <w:p>
      <w:pPr>
        <w:pStyle w:val="Heading2"/>
      </w:pPr>
      <w:r>
        <w:rPr>
          <w:color w:val="0A2540"/>
        </w:rPr>
        <w:t xml:space="preserve">Competitive Set</w:t>
      </w:r>
    </w:p>
    <w:p>
      <w:pPr>
        <w:pStyle w:val="Heading3"/>
      </w:pPr>
      <w:r>
        <w:rPr>
          <w:color w:val="00A685"/>
        </w:rPr>
        <w:t xml:space="preserve">Global VR Rehabilitation Platforms</w:t>
      </w:r>
    </w:p>
    <w:p>
      <w:pPr>
        <w:pStyle w:val="ListParagraph"/>
        <w:numPr>
          <w:ilvl w:val="0"/>
          <w:numId w:val="2"/>
        </w:numPr>
        <w:spacing w:after="80"/>
      </w:pPr>
      <w:r>
        <w:t xml:space="preserve">XRHealth (Israel/US) — direct-to-clinic SaaS, raised USD 24M+. Strongest brand, weakest GCC presence.</w:t>
      </w:r>
    </w:p>
    <w:p>
      <w:pPr>
        <w:pStyle w:val="ListParagraph"/>
        <w:numPr>
          <w:ilvl w:val="0"/>
          <w:numId w:val="2"/>
        </w:numPr>
        <w:spacing w:after="80"/>
      </w:pPr>
      <w:r>
        <w:t xml:space="preserve">MindMaze (Switzerland) — neuro-focused, FDA cleared, ~USD 200M raised. Premium pricing, slow deployment.</w:t>
      </w:r>
    </w:p>
    <w:p>
      <w:pPr>
        <w:pStyle w:val="ListParagraph"/>
        <w:numPr>
          <w:ilvl w:val="0"/>
          <w:numId w:val="2"/>
        </w:numPr>
        <w:spacing w:after="80"/>
      </w:pPr>
      <w:r>
        <w:t xml:space="preserve">Penumbra REAL System (US) — hospital-channel only, hardware-heavy, USD 5K+ unit economics.</w:t>
      </w:r>
    </w:p>
    <w:p>
      <w:pPr>
        <w:pStyle w:val="ListParagraph"/>
        <w:numPr>
          <w:ilvl w:val="0"/>
          <w:numId w:val="2"/>
        </w:numPr>
        <w:spacing w:after="80"/>
      </w:pPr>
      <w:r>
        <w:t xml:space="preserve">Neuro Rehab VR (US) — clinic SaaS, narrow stroke focus, modest scale.</w:t>
      </w:r>
    </w:p>
    <w:p>
      <w:pPr>
        <w:pStyle w:val="ListParagraph"/>
        <w:numPr>
          <w:ilvl w:val="0"/>
          <w:numId w:val="2"/>
        </w:numPr>
        <w:spacing w:after="80"/>
      </w:pPr>
      <w:r>
        <w:t xml:space="preserve">Karuna Labs (US) — chronic pain specialist, FDA-cleared 2023, narrow indication focus.</w:t>
      </w:r>
    </w:p>
    <w:p>
      <w:pPr>
        <w:pStyle w:val="ListParagraph"/>
        <w:numPr>
          <w:ilvl w:val="0"/>
          <w:numId w:val="2"/>
        </w:numPr>
        <w:spacing w:after="80"/>
      </w:pPr>
      <w:r>
        <w:t xml:space="preserve">Cuvr.io (US, brand collision) — small-scale VR rehab, regional presence in US Midwest only. CUVR brand defensibility requires UAE trademark filing within Phase 1.</w:t>
      </w:r>
    </w:p>
    <w:p>
      <w:pPr>
        <w:pStyle w:val="Heading3"/>
      </w:pPr>
      <w:r>
        <w:rPr>
          <w:color w:val="00A685"/>
        </w:rPr>
        <w:t xml:space="preserve">Regional / MENA</w:t>
      </w:r>
    </w:p>
    <w:p>
      <w:pPr>
        <w:spacing w:after="140"/>
      </w:pPr>
      <w:r>
        <w:t xml:space="preserve">No dominant local VR rehab competitor exists in the GCC. Closest analogues:</w:t>
      </w:r>
    </w:p>
    <w:p>
      <w:pPr>
        <w:pStyle w:val="ListParagraph"/>
        <w:numPr>
          <w:ilvl w:val="0"/>
          <w:numId w:val="2"/>
        </w:numPr>
        <w:spacing w:after="80"/>
      </w:pPr>
      <w:r>
        <w:t xml:space="preserve">VR-First (UAE-based, AR/VR services, not clinical specialist).</w:t>
      </w:r>
    </w:p>
    <w:p>
      <w:pPr>
        <w:pStyle w:val="ListParagraph"/>
        <w:numPr>
          <w:ilvl w:val="0"/>
          <w:numId w:val="2"/>
        </w:numPr>
        <w:spacing w:after="80"/>
      </w:pPr>
      <w:r>
        <w:t xml:space="preserve">Oncomfort (Belgium, expanding to Saudi, focused on procedural pain).</w:t>
      </w:r>
    </w:p>
    <w:p>
      <w:pPr>
        <w:pStyle w:val="ListParagraph"/>
        <w:numPr>
          <w:ilvl w:val="0"/>
          <w:numId w:val="2"/>
        </w:numPr>
        <w:spacing w:after="80"/>
      </w:pPr>
      <w:r>
        <w:t xml:space="preserve">Hospital-internal pilots: Cleveland Clinic Abu Dhabi has piloted MindMaze; American Hospital Dubai trialed XRHealth in 2024 — neither has scaled.</w:t>
      </w:r>
    </w:p>
    <w:p>
      <w:pPr>
        <w:pStyle w:val="Heading3"/>
      </w:pPr>
      <w:r>
        <w:rPr>
          <w:color w:val="00A685"/>
        </w:rPr>
        <w:t xml:space="preserve">Adjacent Substitutes</w:t>
      </w:r>
    </w:p>
    <w:p>
      <w:pPr>
        <w:pStyle w:val="ListParagraph"/>
        <w:numPr>
          <w:ilvl w:val="0"/>
          <w:numId w:val="2"/>
        </w:numPr>
        <w:spacing w:after="80"/>
      </w:pPr>
      <w:r>
        <w:t xml:space="preserve">Telehealth physiotherapy (e.g., Kaia Health, Hinge Health). Strong adherence tools but no immersion.</w:t>
      </w:r>
    </w:p>
    <w:p>
      <w:pPr>
        <w:pStyle w:val="ListParagraph"/>
        <w:numPr>
          <w:ilvl w:val="0"/>
          <w:numId w:val="2"/>
        </w:numPr>
        <w:spacing w:after="80"/>
      </w:pPr>
      <w:r>
        <w:t xml:space="preserve">In-clinic gamified equipment (MotekForce, Tyromotion) — expensive, room-sized, hospital-only.</w:t>
      </w:r>
    </w:p>
    <w:p>
      <w:pPr>
        <w:pStyle w:val="ListParagraph"/>
        <w:numPr>
          <w:ilvl w:val="0"/>
          <w:numId w:val="2"/>
        </w:numPr>
        <w:spacing w:after="80"/>
      </w:pPr>
      <w:r>
        <w:t xml:space="preserve">Standard physiotherapy with no digital augmentation — incumbent default, currently 95%+ of UAE rehab delivery.</w:t>
      </w:r>
    </w:p>
    <w:p>
      <w:pPr>
        <w:pStyle w:val="Heading2"/>
      </w:pPr>
      <w:r>
        <w:rPr>
          <w:color w:val="0A2540"/>
        </w:rPr>
        <w:t xml:space="preserve">CUVR Competitive Positioning</w:t>
      </w:r>
    </w:p>
    <w:p>
      <w:pPr>
        <w:spacing w:after="140"/>
      </w:pPr>
      <w:r>
        <w:t xml:space="preserve">CUVR’s defensible moat is built on three vectors:</w:t>
      </w:r>
    </w:p>
    <w:p>
      <w:pPr>
        <w:pStyle w:val="ListParagraph"/>
        <w:numPr>
          <w:ilvl w:val="0"/>
          <w:numId w:val="2"/>
        </w:numPr>
        <w:spacing w:after="80"/>
      </w:pPr>
      <w:r>
        <w:t xml:space="preserve">Geographic specificity. Built for GCC regulatory, language (Arabic + English content), and insurance reimbursement realities. International incumbents will require 12–18 months of localization to match.</w:t>
      </w:r>
    </w:p>
    <w:p>
      <w:pPr>
        <w:pStyle w:val="ListParagraph"/>
        <w:numPr>
          <w:ilvl w:val="0"/>
          <w:numId w:val="2"/>
        </w:numPr>
        <w:spacing w:after="80"/>
      </w:pPr>
      <w:r>
        <w:t xml:space="preserve">Clinical depth. Co-developed protocols with UAE-licensed physiatrists. Outcome metrics aligned with DHA reimbursement requirements from day one.</w:t>
      </w:r>
    </w:p>
    <w:p>
      <w:pPr>
        <w:pStyle w:val="ListParagraph"/>
        <w:numPr>
          <w:ilvl w:val="0"/>
          <w:numId w:val="2"/>
        </w:numPr>
        <w:spacing w:after="80"/>
      </w:pPr>
      <w:r>
        <w:t xml:space="preserve">Commercial model. B2B2C with hardware included drives faster adoption than competitors’ BYOD or hospital-only models.</w:t>
      </w:r>
    </w:p>
    <w:p>
      <w:pPr>
        <w:spacing w:after="140"/>
      </w:pPr>
      <w:r>
        <w:rPr>
          <w:i/>
          <w:iCs/>
        </w:rPr>
        <w:t xml:space="preserve">Importantly: the addressable market is large enough that CUVR does not need to win against XRHealth or MindMaze. The competitive question is 'who captures the GCC first', not 'who wins globally'. First-mover capture of insurer reimbursement codes is the durable advantage.</w:t>
      </w:r>
    </w:p>
    <w:p>
      <w:pPr>
        <w:pStyle w:val="Heading1"/>
        <w:pageBreakBefore/>
      </w:pPr>
      <w:r>
        <w:rPr>
          <w:color w:val="0A2540"/>
        </w:rPr>
        <w:t xml:space="preserve">Regulatory Landscape</w:t>
      </w:r>
    </w:p>
    <w:p>
      <w:pPr>
        <w:spacing w:after="140"/>
      </w:pPr>
      <w:r>
        <w:t xml:space="preserve">A detailed regulatory pathway document accompanies this analysis. This section summarizes the strategic implications.</w:t>
      </w:r>
    </w:p>
    <w:p>
      <w:pPr>
        <w:pStyle w:val="Heading2"/>
      </w:pPr>
      <w:r>
        <w:rPr>
          <w:color w:val="0A2540"/>
        </w:rPr>
        <w:t xml:space="preserve">UAE Regulatory Framework</w:t>
      </w:r>
    </w:p>
    <w:p>
      <w:pPr>
        <w:spacing w:after="140"/>
      </w:pPr>
      <w:r>
        <w:t xml:space="preserve">The UAE operates a federal-emirate split regulatory model. Federal medical device regulation is administered by the Ministry of Health and Prevention (MoHAP). Emirate-level health regulation is administered by the Dubai Health Authority (DHA), Department of Health Abu Dhabi (DoH), and Sharjah Health Authority (SHA). For products selling into Dubai healthcare, DHA approval is the primary pathway; for Abu Dhabi, DoH; for federal-level distribution, MoHAP.</w:t>
      </w:r>
    </w:p>
    <w:p>
      <w:pPr>
        <w:pStyle w:val="Heading2"/>
      </w:pPr>
      <w:r>
        <w:rPr>
          <w:color w:val="0A2540"/>
        </w:rPr>
        <w:t xml:space="preserve">CUVR Regulatory Classification</w:t>
      </w:r>
    </w:p>
    <w:p>
      <w:pPr>
        <w:spacing w:after="140"/>
      </w:pPr>
      <w:r>
        <w:t xml:space="preserve">CUVR is expected to be classified as Class IIa Software as Medical Device (SaMD) under MoHAP and DHA frameworks. Class IIa indicates moderate risk and requires (a) ISO 13485 quality management certification, (b) IEC 62304 software lifecycle compliance, (c) clinical evaluation report with at least one peer-reviewed UAE clinical study, (d) post-market surveillance plan.</w:t>
      </w:r>
    </w:p>
    <w:p>
      <w:pPr>
        <w:spacing w:after="140"/>
      </w:pPr>
      <w:r>
        <w:t xml:space="preserve">Expected timeline: 12–18 months from initial submission to full Class IIa approval. DHA Innovation Sandbox can authorize parallel commercial deployment in licensed clinics from Month 6–9 onward, allowing revenue generation before final approval.</w:t>
      </w:r>
    </w:p>
    <w:p>
      <w:pPr>
        <w:pStyle w:val="Heading2"/>
      </w:pPr>
      <w:r>
        <w:rPr>
          <w:color w:val="0A2540"/>
        </w:rPr>
        <w:t xml:space="preserve">Reimbursement Pathway</w:t>
      </w:r>
    </w:p>
    <w:p>
      <w:pPr>
        <w:spacing w:after="140"/>
      </w:pPr>
      <w:r>
        <w:t xml:space="preserve">UAE insurance reimbursement is gated by DHA Standardized Codes. CUVR will pursue inclusion under existing physiotherapy session codes (CPT-equivalent 97110, 97112, 97530) with a digital therapeutics modifier. Precedent set by Glooko, Livongo (Daman 2023), and similar platforms suggests an 18–24 month path from first-paid-clinic to broad insurer reimbursement coverage.</w:t>
      </w:r>
    </w:p>
    <w:p>
      <w:pPr>
        <w:spacing w:after="140"/>
      </w:pPr>
      <w:r>
        <w:t xml:space="preserve">Strategic implication: CUVR can generate meaningful revenue from cash-pay and clinic-self-pay channels for the first 12–18 months, while building the clinical evidence base required for insurer reimbursement. By Year 3, insurer reimbursement should drive &gt;50% of revenue.</w:t>
      </w:r>
    </w:p>
    <w:p>
      <w:pPr>
        <w:pStyle w:val="Heading2"/>
      </w:pPr>
      <w:r>
        <w:rPr>
          <w:color w:val="0A2540"/>
        </w:rPr>
        <w:t xml:space="preserve">Free Zone Selection</w:t>
      </w:r>
    </w:p>
    <w:p>
      <w:pPr>
        <w:spacing w:after="140"/>
      </w:pPr>
      <w:r>
        <w:t xml:space="preserve">Dubai offers two principal free zones for healthcare businesses:</w:t>
      </w:r>
    </w:p>
    <w:p>
      <w:pPr>
        <w:pStyle w:val="ListParagraph"/>
        <w:numPr>
          <w:ilvl w:val="0"/>
          <w:numId w:val="2"/>
        </w:numPr>
        <w:spacing w:after="80"/>
      </w:pPr>
      <w:r>
        <w:t xml:space="preserve">Dubai Healthcare City (DHCC) — gold standard for clinical credibility. Required for clinical operations. Higher setup cost (AED 30–45K) and stricter compliance, but signals seriousness to clinical partners and insurers.</w:t>
      </w:r>
    </w:p>
    <w:p>
      <w:pPr>
        <w:pStyle w:val="ListParagraph"/>
        <w:numPr>
          <w:ilvl w:val="0"/>
          <w:numId w:val="2"/>
        </w:numPr>
        <w:spacing w:after="80"/>
      </w:pPr>
      <w:r>
        <w:t xml:space="preserve">Dubai Science Park (DSP) — slightly lower setup cost (AED 22–30K), broader allowable activities, but less recognized in clinical channels.</w:t>
      </w:r>
    </w:p>
    <w:p>
      <w:pPr>
        <w:spacing w:after="140"/>
      </w:pPr>
      <w:r>
        <w:t xml:space="preserve">Recommendation: incorporate in DHCC. The premium is small relative to the credibility advantage with hospital and insurer partners.</w:t>
      </w:r>
    </w:p>
    <w:p>
      <w:pPr>
        <w:pStyle w:val="Heading1"/>
        <w:pageBreakBefore/>
      </w:pPr>
      <w:r>
        <w:rPr>
          <w:color w:val="0A2540"/>
        </w:rPr>
        <w:t xml:space="preserve">Financial Overview (Summary)</w:t>
      </w:r>
    </w:p>
    <w:p>
      <w:pPr>
        <w:spacing w:after="140"/>
      </w:pPr>
      <w:r>
        <w:t xml:space="preserve">A detailed 5-year financial model accompanies this analysis. This section summarizes the high-level economics.</w:t>
      </w:r>
    </w:p>
    <w:p>
      <w:pPr>
        <w:pStyle w:val="Heading2"/>
      </w:pPr>
      <w:r>
        <w:rPr>
          <w:color w:val="0A2540"/>
        </w:rPr>
        <w:t xml:space="preserve">Unit Economics — Per Clinic,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Metric</w:t>
            </w:r>
          </w:p>
        </w:tc>
        <w:tc>
          <w:tcPr>
            <w:tcW w:type="dxa" w:w="240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Value</w:t>
            </w:r>
          </w:p>
        </w:tc>
        <w:tc>
          <w:tcPr>
            <w:tcW w:type="dxa" w:w="396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Notes</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Setup fee (one-time)</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AED 18,000</w:t>
            </w:r>
          </w:p>
        </w:tc>
        <w:tc>
          <w:tcPr>
            <w:tcW w:type="dxa" w:w="39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Hardware + training + onboarding</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Monthly platform fee</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AED 4,500</w:t>
            </w:r>
          </w:p>
        </w:tc>
        <w:tc>
          <w:tcPr>
            <w:tcW w:type="dxa" w:w="3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Unlimited therapist accounts, dashboard, content</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Per-session fee</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AED 35</w:t>
            </w:r>
          </w:p>
        </w:tc>
        <w:tc>
          <w:tcPr>
            <w:tcW w:type="dxa" w:w="39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Variable, scales with utilization</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Avg. monthly sessions per clinic</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180</w:t>
            </w:r>
          </w:p>
        </w:tc>
        <w:tc>
          <w:tcPr>
            <w:tcW w:type="dxa" w:w="3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Conservative; high-utilization sites hit 300+</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Avg. monthly revenue per clinic</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AED 10,800</w:t>
            </w:r>
          </w:p>
        </w:tc>
        <w:tc>
          <w:tcPr>
            <w:tcW w:type="dxa" w:w="39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Platform + sessions</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Annual revenue per clinic</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AED 129,600 + AED 18K setup</w:t>
            </w:r>
          </w:p>
        </w:tc>
        <w:tc>
          <w:tcPr>
            <w:tcW w:type="dxa" w:w="3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USD ~40,000</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Gross margin</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62%</w:t>
            </w:r>
          </w:p>
        </w:tc>
        <w:tc>
          <w:tcPr>
            <w:tcW w:type="dxa" w:w="39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After hardware amortization, hosting, content</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CAC (Year 1)</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AED 22,000</w:t>
            </w:r>
          </w:p>
        </w:tc>
        <w:tc>
          <w:tcPr>
            <w:tcW w:type="dxa" w:w="3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Founder-led sales; reduces with scale</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Payback period</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8.4 months</w:t>
            </w:r>
          </w:p>
        </w:tc>
        <w:tc>
          <w:tcPr>
            <w:tcW w:type="dxa" w:w="39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Including setup recovery</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LTV (3-year)</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AED 285,000</w:t>
            </w:r>
          </w:p>
        </w:tc>
        <w:tc>
          <w:tcPr>
            <w:tcW w:type="dxa" w:w="3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Assumes 90% annual retention</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LTV:CAC</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13:1</w:t>
            </w:r>
          </w:p>
        </w:tc>
        <w:tc>
          <w:tcPr>
            <w:tcW w:type="dxa" w:w="39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Healthy for B2B SaaS</w:t>
            </w:r>
          </w:p>
        </w:tc>
      </w:tr>
    </w:tbl>
    <w:p>
      <w:pPr>
        <w:pStyle w:val="Heading2"/>
      </w:pPr>
      <w:r>
        <w:rPr>
          <w:color w:val="0A2540"/>
        </w:rPr>
        <w:t xml:space="preserve">5-Year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Metric</w:t>
            </w:r>
          </w:p>
        </w:tc>
        <w:tc>
          <w:tcPr>
            <w:tcW w:type="dxa" w:w="1392"/>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Year 1</w:t>
            </w:r>
          </w:p>
        </w:tc>
        <w:tc>
          <w:tcPr>
            <w:tcW w:type="dxa" w:w="1392"/>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Year 2</w:t>
            </w:r>
          </w:p>
        </w:tc>
        <w:tc>
          <w:tcPr>
            <w:tcW w:type="dxa" w:w="1392"/>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Year 3</w:t>
            </w:r>
          </w:p>
        </w:tc>
        <w:tc>
          <w:tcPr>
            <w:tcW w:type="dxa" w:w="1392"/>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Year 4</w:t>
            </w:r>
          </w:p>
        </w:tc>
        <w:tc>
          <w:tcPr>
            <w:tcW w:type="dxa" w:w="1392"/>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Year 5</w:t>
            </w:r>
          </w:p>
        </w:tc>
      </w:tr>
      <w:tr>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Paying clinics + hospital depts.</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8</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31</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74</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133</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203</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ARR (USD M)</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0.6</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2.8</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7.4</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14.8</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24.0</w:t>
            </w:r>
          </w:p>
        </w:tc>
      </w:tr>
      <w:tr>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Gross margin</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55%</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60%</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65%</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68%</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70%</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Operating loss / (profit)</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(0.9)</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(1.4)</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(0.6)</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1.8</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5.2</w:t>
            </w:r>
          </w:p>
        </w:tc>
      </w:tr>
      <w:tr>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Cash burn (cumulative)</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(0.9)</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(2.3)</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(2.9)</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(1.1)</w:t>
            </w:r>
          </w:p>
        </w:tc>
        <w:tc>
          <w:tcPr>
            <w:tcW w:type="dxa" w:w="1392"/>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4.1</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Headcount</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5</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14</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26</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42</w:t>
            </w:r>
          </w:p>
        </w:tc>
        <w:tc>
          <w:tcPr>
            <w:tcW w:type="dxa" w:w="1392"/>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62</w:t>
            </w:r>
          </w:p>
        </w:tc>
      </w:tr>
    </w:tbl>
    <w:p>
      <w:pPr>
        <w:pStyle w:val="Heading2"/>
      </w:pPr>
      <w:r>
        <w:rPr>
          <w:color w:val="0A2540"/>
        </w:rPr>
        <w:t xml:space="preserve">Capital Requirements</w:t>
      </w:r>
    </w:p>
    <w:p>
      <w:pPr>
        <w:spacing w:after="140"/>
      </w:pPr>
      <w:r>
        <w:t xml:space="preserve">Pre-Seed (Q2 2026): USD 100K — covers 90-day validation and pre-MVP operations. Friends, family, angel.</w:t>
      </w:r>
    </w:p>
    <w:p>
      <w:pPr>
        <w:spacing w:after="140"/>
      </w:pPr>
      <w:r>
        <w:t xml:space="preserve">Seed (Q4 2026): USD 1.5M — funds 18-month runway through DHA Sandbox approval, RCT, expansion to 25 clinics. Target investors: Hub71, MBRIF, BECO Capital, regional family offices.</w:t>
      </w:r>
    </w:p>
    <w:p>
      <w:pPr>
        <w:spacing w:after="140"/>
      </w:pPr>
      <w:r>
        <w:t xml:space="preserve">Series A (Q2 2028): USD 6–8M — funds GCC expansion (Saudi, Qatar), full clinical RCT, 75-clinic deployment. Target investors: Mubadala, STV, Vision Ventures, international healthtech specialists (e.g., MTIP, LRVHealth).</w:t>
      </w:r>
    </w:p>
    <w:p>
      <w:pPr>
        <w:pStyle w:val="Heading1"/>
        <w:pageBreakBefore/>
      </w:pPr>
      <w:r>
        <w:rPr>
          <w:color w:val="0A2540"/>
        </w:rPr>
        <w:t xml:space="preserve">Risks</w:t>
      </w:r>
    </w:p>
    <w:p>
      <w:pPr>
        <w:spacing w:after="140"/>
      </w:pPr>
      <w:r>
        <w:t xml:space="preserve">This section enumerates material risks identified to date. A more granular risk register accompanies the financial model.</w:t>
      </w:r>
    </w:p>
    <w:p>
      <w:pPr>
        <w:pStyle w:val="Heading2"/>
      </w:pPr>
      <w:r>
        <w:rPr>
          <w:color w:val="0A2540"/>
        </w:rPr>
        <w:t xml:space="preserve">Market Risks</w:t>
      </w:r>
    </w:p>
    <w:p>
      <w:pPr>
        <w:pStyle w:val="ListParagraph"/>
        <w:numPr>
          <w:ilvl w:val="0"/>
          <w:numId w:val="2"/>
        </w:numPr>
        <w:spacing w:after="80"/>
      </w:pPr>
      <w:r>
        <w:t xml:space="preserve">Slower-than-projected clinic adoption: clinics may resist tech change. Mitigation: B2B2C with no upfront capital cost to clinic; pilot-to-purchase pipeline.</w:t>
      </w:r>
    </w:p>
    <w:p>
      <w:pPr>
        <w:pStyle w:val="ListParagraph"/>
        <w:numPr>
          <w:ilvl w:val="0"/>
          <w:numId w:val="2"/>
        </w:numPr>
        <w:spacing w:after="80"/>
      </w:pPr>
      <w:r>
        <w:t xml:space="preserve">Saudi expansion delay: Vision 2030 timelines have slipped historically. Mitigation: UAE-only base case to break-even by Year 4.</w:t>
      </w:r>
    </w:p>
    <w:p>
      <w:pPr>
        <w:pStyle w:val="Heading2"/>
      </w:pPr>
      <w:r>
        <w:rPr>
          <w:color w:val="0A2540"/>
        </w:rPr>
        <w:t xml:space="preserve">Regulatory Risks</w:t>
      </w:r>
    </w:p>
    <w:p>
      <w:pPr>
        <w:pStyle w:val="ListParagraph"/>
        <w:numPr>
          <w:ilvl w:val="0"/>
          <w:numId w:val="2"/>
        </w:numPr>
        <w:spacing w:after="80"/>
      </w:pPr>
      <w:r>
        <w:t xml:space="preserve">Reclassification to Class IIb adds 6–9 months and AED 200K+ to regulatory cost. Mitigation: early engagement with DHA consultant, Class IIa positioning of clinical claims.</w:t>
      </w:r>
    </w:p>
    <w:p>
      <w:pPr>
        <w:pStyle w:val="ListParagraph"/>
        <w:numPr>
          <w:ilvl w:val="0"/>
          <w:numId w:val="2"/>
        </w:numPr>
        <w:spacing w:after="80"/>
      </w:pPr>
      <w:r>
        <w:t xml:space="preserve">Insurance reimbursement delay beyond Year 3. Mitigation: cash-pay viability proven from Day 1; 70% of unit economics work without reimbursement.</w:t>
      </w:r>
    </w:p>
    <w:p>
      <w:pPr>
        <w:pStyle w:val="Heading2"/>
      </w:pPr>
      <w:r>
        <w:rPr>
          <w:color w:val="0A2540"/>
        </w:rPr>
        <w:t xml:space="preserve">Competitive Risks</w:t>
      </w:r>
    </w:p>
    <w:p>
      <w:pPr>
        <w:pStyle w:val="ListParagraph"/>
        <w:numPr>
          <w:ilvl w:val="0"/>
          <w:numId w:val="2"/>
        </w:numPr>
        <w:spacing w:after="80"/>
      </w:pPr>
      <w:r>
        <w:t xml:space="preserve">XRHealth or MindMaze enter UAE aggressively: Mitigation: 12–18 month head start; geographic specificity moat; insurer relationships once established are sticky.</w:t>
      </w:r>
    </w:p>
    <w:p>
      <w:pPr>
        <w:pStyle w:val="ListParagraph"/>
        <w:numPr>
          <w:ilvl w:val="0"/>
          <w:numId w:val="2"/>
        </w:numPr>
        <w:spacing w:after="80"/>
      </w:pPr>
      <w:r>
        <w:t xml:space="preserve">Hospital-built internal solutions (Cleveland Clinic, Mubadala Health). Mitigation: B2B sale to those institutions on the basis of build-vs-buy economics.</w:t>
      </w:r>
    </w:p>
    <w:p>
      <w:pPr>
        <w:pStyle w:val="Heading2"/>
      </w:pPr>
      <w:r>
        <w:rPr>
          <w:color w:val="0A2540"/>
        </w:rPr>
        <w:t xml:space="preserve">Execution Risks</w:t>
      </w:r>
    </w:p>
    <w:p>
      <w:pPr>
        <w:pStyle w:val="ListParagraph"/>
        <w:numPr>
          <w:ilvl w:val="0"/>
          <w:numId w:val="2"/>
        </w:numPr>
        <w:spacing w:after="80"/>
      </w:pPr>
      <w:r>
        <w:t xml:space="preserve">Founder concentration risk: solo founder is high-risk in healthtech. Mitigation: clinical co-founder by Day 30; technical co-founder by Day 90.</w:t>
      </w:r>
    </w:p>
    <w:p>
      <w:pPr>
        <w:pStyle w:val="ListParagraph"/>
        <w:numPr>
          <w:ilvl w:val="0"/>
          <w:numId w:val="2"/>
        </w:numPr>
        <w:spacing w:after="80"/>
      </w:pPr>
      <w:r>
        <w:t xml:space="preserve">Hardware obsolescence: VR headsets refresh on 18–24 month cycles. Mitigation: OpenXR abstraction; multi-headset support; lease-not-sell hardware model.</w:t>
      </w:r>
    </w:p>
    <w:p>
      <w:pPr>
        <w:pStyle w:val="ListParagraph"/>
        <w:numPr>
          <w:ilvl w:val="0"/>
          <w:numId w:val="2"/>
        </w:numPr>
        <w:spacing w:after="80"/>
      </w:pPr>
      <w:r>
        <w:t xml:space="preserve">Clinical evidence pace: RCT design and execution take 12–18 months. Mitigation: pilot data + retrospective analyses for 18-month interim publication path.</w:t>
      </w:r>
    </w:p>
    <w:p>
      <w:pPr>
        <w:pStyle w:val="Heading2"/>
      </w:pPr>
      <w:r>
        <w:rPr>
          <w:color w:val="0A2540"/>
        </w:rPr>
        <w:t xml:space="preserve">Macro Risks</w:t>
      </w:r>
    </w:p>
    <w:p>
      <w:pPr>
        <w:pStyle w:val="ListParagraph"/>
        <w:numPr>
          <w:ilvl w:val="0"/>
          <w:numId w:val="2"/>
        </w:numPr>
        <w:spacing w:after="80"/>
      </w:pPr>
      <w:r>
        <w:t xml:space="preserve">UAE healthcare spend cuts in oil-price scenario. Mitigation: rehab is non-discretionary; insurance-funded share insulates revenue.</w:t>
      </w:r>
    </w:p>
    <w:p>
      <w:pPr>
        <w:pStyle w:val="ListParagraph"/>
        <w:numPr>
          <w:ilvl w:val="0"/>
          <w:numId w:val="2"/>
        </w:numPr>
        <w:spacing w:after="80"/>
      </w:pPr>
      <w:r>
        <w:t xml:space="preserve">Regional geopolitical disruption affecting expat population. Mitigation: Emirati patient base alone is sufficient for Year 1–2 plan.</w:t>
      </w:r>
    </w:p>
    <w:p>
      <w:pPr>
        <w:pStyle w:val="Heading1"/>
        <w:pageBreakBefore/>
      </w:pPr>
      <w:r>
        <w:rPr>
          <w:color w:val="0A2540"/>
        </w:rPr>
        <w:t xml:space="preserve">Conclusion</w:t>
      </w:r>
    </w:p>
    <w:p>
      <w:pPr>
        <w:spacing w:after="140"/>
      </w:pPr>
      <w:r>
        <w:t xml:space="preserve">The CUVR opportunity is structurally rare. Dubai’s combination of insurance density, regulatory flexibility, demographic pressure, and healthtech capital availability creates conditions that exist in no other healthcare market globally. The clinical evidence base for VR rehabilitation has matured to the point where adoption is no longer gated by skepticism but by execution.</w:t>
      </w:r>
    </w:p>
    <w:p>
      <w:pPr>
        <w:spacing w:after="140"/>
      </w:pPr>
      <w:r>
        <w:t xml:space="preserve">Three things determine whether CUVR captures this opportunity: (1) clinical credibility, anchored by a clinical co-founder and locally-published outcome data; (2) regulatory speed, anchored by DHA Sandbox launch within 9 months; (3) commercial discipline, anchored by a wedge-indication strategy that defers expansion until product-market fit is undeniable.</w:t>
      </w:r>
    </w:p>
    <w:p>
      <w:pPr>
        <w:spacing w:after="140"/>
      </w:pPr>
      <w:r>
        <w:t xml:space="preserve">If those three are executed, CUVR is positioned to be the category-defining VR rehabilitation platform in MENA — a USD 100M+ ARR business by 2032 with defensible insurer relationships and a clinical evidence base that no later entrant can replicate without 5+ years of patient data.</w:t>
      </w:r>
    </w:p>
    <w:p>
      <w:pPr>
        <w:spacing w:after="140"/>
      </w:pPr>
      <w:r>
        <w:rPr>
          <w:b/>
          <w:bCs/>
          <w:i/>
          <w:iCs/>
        </w:rPr>
        <w:t xml:space="preserve">The window is open. It will not stay open indefinitely.</w:t>
      </w:r>
    </w:p>
    <w:p>
      <w:pPr>
        <w:pStyle w:val="Heading1"/>
        <w:pageBreakBefore/>
      </w:pPr>
      <w:r>
        <w:rPr>
          <w:color w:val="0A2540"/>
        </w:rPr>
        <w:t xml:space="preserve">Appendix  ·  Sources and Methodology</w:t>
      </w:r>
    </w:p>
    <w:p>
      <w:pPr>
        <w:pStyle w:val="Heading2"/>
      </w:pPr>
      <w:r>
        <w:rPr>
          <w:color w:val="0A2540"/>
        </w:rPr>
        <w:t xml:space="preserve">Primary Data Sources</w:t>
      </w:r>
    </w:p>
    <w:p>
      <w:pPr>
        <w:pStyle w:val="ListParagraph"/>
        <w:numPr>
          <w:ilvl w:val="0"/>
          <w:numId w:val="2"/>
        </w:numPr>
        <w:spacing w:after="80"/>
      </w:pPr>
      <w:r>
        <w:t xml:space="preserve">Frost &amp; Sullivan, MENA Digital Health Market Report 2024.</w:t>
      </w:r>
    </w:p>
    <w:p>
      <w:pPr>
        <w:pStyle w:val="ListParagraph"/>
        <w:numPr>
          <w:ilvl w:val="0"/>
          <w:numId w:val="2"/>
        </w:numPr>
        <w:spacing w:after="80"/>
      </w:pPr>
      <w:r>
        <w:t xml:space="preserve">Mordor Intelligence, GCC Healthcare Market Outlook 2024–2030.</w:t>
      </w:r>
    </w:p>
    <w:p>
      <w:pPr>
        <w:pStyle w:val="ListParagraph"/>
        <w:numPr>
          <w:ilvl w:val="0"/>
          <w:numId w:val="2"/>
        </w:numPr>
        <w:spacing w:after="80"/>
      </w:pPr>
      <w:r>
        <w:t xml:space="preserve">Dubai Health Authority, Annual Statistical Report 2024.</w:t>
      </w:r>
    </w:p>
    <w:p>
      <w:pPr>
        <w:pStyle w:val="ListParagraph"/>
        <w:numPr>
          <w:ilvl w:val="0"/>
          <w:numId w:val="2"/>
        </w:numPr>
        <w:spacing w:after="80"/>
      </w:pPr>
      <w:r>
        <w:t xml:space="preserve">UAE Ministry of Health and Prevention, Health Workforce Census 2024.</w:t>
      </w:r>
    </w:p>
    <w:p>
      <w:pPr>
        <w:pStyle w:val="ListParagraph"/>
        <w:numPr>
          <w:ilvl w:val="0"/>
          <w:numId w:val="2"/>
        </w:numPr>
        <w:spacing w:after="80"/>
      </w:pPr>
      <w:r>
        <w:t xml:space="preserve">WHO Rehabilitation 2030 Initiative, country-level data.</w:t>
      </w:r>
    </w:p>
    <w:p>
      <w:pPr>
        <w:pStyle w:val="Heading2"/>
      </w:pPr>
      <w:r>
        <w:rPr>
          <w:color w:val="0A2540"/>
        </w:rPr>
        <w:t xml:space="preserve">Clinical Evidence Sources</w:t>
      </w:r>
    </w:p>
    <w:p>
      <w:pPr>
        <w:pStyle w:val="ListParagraph"/>
        <w:numPr>
          <w:ilvl w:val="0"/>
          <w:numId w:val="2"/>
        </w:numPr>
        <w:spacing w:after="80"/>
      </w:pPr>
      <w:r>
        <w:t xml:space="preserve">Lancet Neurology, 'Virtual reality–based rehabilitation for upper-limb motor recovery after stroke', 2022.</w:t>
      </w:r>
    </w:p>
    <w:p>
      <w:pPr>
        <w:pStyle w:val="ListParagraph"/>
        <w:numPr>
          <w:ilvl w:val="0"/>
          <w:numId w:val="2"/>
        </w:numPr>
        <w:spacing w:after="80"/>
      </w:pPr>
      <w:r>
        <w:t xml:space="preserve">Stroke (AHA Journal), VR rehabilitation meta-analysis, 2023.</w:t>
      </w:r>
    </w:p>
    <w:p>
      <w:pPr>
        <w:pStyle w:val="ListParagraph"/>
        <w:numPr>
          <w:ilvl w:val="0"/>
          <w:numId w:val="2"/>
        </w:numPr>
        <w:spacing w:after="80"/>
      </w:pPr>
      <w:r>
        <w:t xml:space="preserve">Cochrane Database of Systematic Reviews, VR for stroke rehabilitation, updated 2023.</w:t>
      </w:r>
    </w:p>
    <w:p>
      <w:pPr>
        <w:pStyle w:val="ListParagraph"/>
        <w:numPr>
          <w:ilvl w:val="0"/>
          <w:numId w:val="2"/>
        </w:numPr>
        <w:spacing w:after="80"/>
      </w:pPr>
      <w:r>
        <w:t xml:space="preserve">JMIR Serious Games, multiple meta-analyses, 2022–2024.</w:t>
      </w:r>
    </w:p>
    <w:p>
      <w:pPr>
        <w:pStyle w:val="ListParagraph"/>
        <w:numPr>
          <w:ilvl w:val="0"/>
          <w:numId w:val="2"/>
        </w:numPr>
        <w:spacing w:after="80"/>
      </w:pPr>
      <w:r>
        <w:t xml:space="preserve">Archives of Physical Medicine and Rehabilitation, VR clinical trials, ongoing.</w:t>
      </w:r>
    </w:p>
    <w:p>
      <w:pPr>
        <w:pStyle w:val="Heading2"/>
      </w:pPr>
      <w:r>
        <w:rPr>
          <w:color w:val="0A2540"/>
        </w:rPr>
        <w:t xml:space="preserve">Methodology Notes</w:t>
      </w:r>
    </w:p>
    <w:p>
      <w:pPr>
        <w:spacing w:after="140"/>
      </w:pPr>
      <w:r>
        <w:t xml:space="preserve">Market sizing uses a triangulated approach combining top-down (industry analyst) and bottom-up (clinic count × spend per clinic) methods. SOM projections assume conservative adoption: 2.5% Year 1, accelerating to 8% by Year 5 of the addressable clinic universe. Unit economics are based on industry comparables (XRHealth public data, MindMaze investor disclosures) and adjusted for UAE pricing and operating cost structures.</w:t>
      </w:r>
    </w:p>
    <w:p>
      <w:pPr>
        <w:spacing w:after="140"/>
      </w:pPr>
      <w:r>
        <w:rPr>
          <w:i/>
          <w:iCs/>
        </w:rPr>
        <w:t xml:space="preserve">All projections are pre-revenue and inherently uncertain. The financial model accompanying this document includes sensitivity analyses for base, downside, and upside scenarios.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4748B"/>
        <w:sz w:val="18"/>
        <w:szCs w:val="18"/>
      </w:rPr>
      <w:t xml:space="preserve">Prepared April 2026  ·  Dubai, UAE</w:t>
    </w:r>
    <w:r>
      <w:rPr>
        <w:color w:val="64748B"/>
        <w:sz w:val="18"/>
        <w:szCs w:val="18"/>
      </w:rPr>
      <w:t xml:space="preserve">	</w:t>
    </w:r>
    <w:r>
      <w:rPr>
        <w:color w:val="64748B"/>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0A2540"/>
        <w:sz w:val="18"/>
        <w:szCs w:val="18"/>
      </w:rPr>
      <w:t xml:space="preserve">CUVR  ·  Market Analysis</w:t>
    </w:r>
    <w:r>
      <w:rPr>
        <w:i/>
        <w:iCs/>
        <w:color w:val="64748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254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A254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A68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CUVR Market Analysis</dc:title>
  <dc:creator>CUVR</dc:creator>
  <cp:lastModifiedBy>Un-named</cp:lastModifiedBy>
  <cp:revision>1</cp:revision>
  <dcterms:created xsi:type="dcterms:W3CDTF">2026-04-28T13:16:12.800Z</dcterms:created>
  <dcterms:modified xsi:type="dcterms:W3CDTF">2026-04-28T13:16:12.800Z</dcterms:modified>
</cp:coreProperties>
</file>

<file path=docProps/custom.xml><?xml version="1.0" encoding="utf-8"?>
<Properties xmlns="http://schemas.openxmlformats.org/officeDocument/2006/custom-properties" xmlns:vt="http://schemas.openxmlformats.org/officeDocument/2006/docPropsVTypes"/>
</file>