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610F4" w14:textId="77777777" w:rsidR="00946D4F" w:rsidRDefault="00000000">
      <w:pPr>
        <w:spacing w:after="40"/>
      </w:pPr>
      <w:r>
        <w:rPr>
          <w:rFonts w:ascii="Calibri" w:hAnsi="Calibri"/>
          <w:b/>
          <w:color w:val="0D1B2A"/>
          <w:sz w:val="56"/>
        </w:rPr>
        <w:t>RiskSense</w:t>
      </w:r>
    </w:p>
    <w:p w14:paraId="26E531CA" w14:textId="77777777" w:rsidR="00946D4F" w:rsidRDefault="00000000">
      <w:pPr>
        <w:spacing w:after="40"/>
      </w:pPr>
      <w:r>
        <w:rPr>
          <w:rFonts w:ascii="Calibri" w:hAnsi="Calibri"/>
          <w:i/>
          <w:color w:val="0D9488"/>
          <w:sz w:val="26"/>
        </w:rPr>
        <w:t>No Risk. Only Fun.</w:t>
      </w:r>
    </w:p>
    <w:p w14:paraId="2CD94B22" w14:textId="5EC6EAD0" w:rsidR="00946D4F" w:rsidRDefault="00000000" w:rsidP="00FB428C">
      <w:pPr>
        <w:spacing w:after="320"/>
      </w:pPr>
      <w:r>
        <w:rPr>
          <w:rFonts w:ascii="Calibri" w:hAnsi="Calibri"/>
          <w:color w:val="64748B"/>
          <w:sz w:val="20"/>
        </w:rPr>
        <w:t xml:space="preserve">Idea Paper  ·  Infineon Venture Hack '26  ·  </w:t>
      </w:r>
    </w:p>
    <w:p w14:paraId="2724207C" w14:textId="77777777" w:rsidR="00946D4F" w:rsidRDefault="00000000">
      <w:pPr>
        <w:spacing w:before="360" w:after="80"/>
      </w:pPr>
      <w:r>
        <w:rPr>
          <w:rFonts w:ascii="Calibri" w:hAnsi="Calibri"/>
          <w:b/>
          <w:color w:val="0D1B2A"/>
          <w:sz w:val="36"/>
        </w:rPr>
        <w:t>1. The Problem</w:t>
      </w:r>
    </w:p>
    <w:p w14:paraId="2FFEF350" w14:textId="77777777" w:rsidR="00946D4F" w:rsidRDefault="00000000">
      <w:pPr>
        <w:spacing w:after="120"/>
      </w:pPr>
      <w:r>
        <w:rPr>
          <w:rFonts w:ascii="Calibri" w:hAnsi="Calibri"/>
          <w:color w:val="1E293B"/>
        </w:rPr>
        <w:t>In complex engineering and project environments, risk management is universally acknowledged as critical — yet it consistently fails in practice. The root cause is not a lack of awareness. Teams know risks exist. The failure is structural: risk information is scattered across disconnected systems, assessed inconsistently, and disconnected from everyday project decisions.</w:t>
      </w:r>
    </w:p>
    <w:p w14:paraId="62C91BBA" w14:textId="77777777" w:rsidR="00946D4F" w:rsidRDefault="00000000">
      <w:pPr>
        <w:spacing w:after="120"/>
      </w:pPr>
      <w:r>
        <w:rPr>
          <w:rFonts w:ascii="Calibri" w:hAnsi="Calibri"/>
          <w:color w:val="1E293B"/>
        </w:rPr>
        <w:t>Three specific failure modes drive this:</w:t>
      </w:r>
    </w:p>
    <w:p w14:paraId="58399C57" w14:textId="77777777" w:rsidR="00946D4F" w:rsidRDefault="00000000">
      <w:pPr>
        <w:pStyle w:val="ListBullet"/>
        <w:spacing w:after="60"/>
      </w:pPr>
      <w:r>
        <w:rPr>
          <w:rFonts w:ascii="Calibri" w:hAnsi="Calibri"/>
          <w:b/>
          <w:color w:val="0D9488"/>
        </w:rPr>
        <w:t xml:space="preserve">Fragmented data: </w:t>
      </w:r>
      <w:r>
        <w:rPr>
          <w:rFonts w:ascii="Calibri" w:hAnsi="Calibri"/>
          <w:color w:val="1E293B"/>
        </w:rPr>
        <w:t>Risk data lives in FMEA databases, PLM systems (Windchill, PLATO), internal project tools (KLUSA), Lessons Learned archives, and public sources — but these are never connected. A project manager must manually cross-reference all of them, which rarely happens.</w:t>
      </w:r>
    </w:p>
    <w:p w14:paraId="352F936B" w14:textId="77777777" w:rsidR="00946D4F" w:rsidRDefault="00000000">
      <w:pPr>
        <w:pStyle w:val="ListBullet"/>
        <w:spacing w:after="60"/>
      </w:pPr>
      <w:r>
        <w:rPr>
          <w:rFonts w:ascii="Calibri" w:hAnsi="Calibri"/>
          <w:b/>
          <w:color w:val="0D9488"/>
        </w:rPr>
        <w:t xml:space="preserve">Static registers: </w:t>
      </w:r>
      <w:r>
        <w:rPr>
          <w:rFonts w:ascii="Calibri" w:hAnsi="Calibri"/>
          <w:color w:val="1E293B"/>
        </w:rPr>
        <w:t>Risk registers are created at project kick-off and rarely updated. By the time a risk materialises, the register reflects the state of the world from months ago.</w:t>
      </w:r>
    </w:p>
    <w:p w14:paraId="7D37333A" w14:textId="77777777" w:rsidR="00946D4F" w:rsidRDefault="00000000">
      <w:pPr>
        <w:pStyle w:val="ListBullet"/>
        <w:spacing w:after="60"/>
      </w:pPr>
      <w:r>
        <w:rPr>
          <w:rFonts w:ascii="Calibri" w:hAnsi="Calibri"/>
          <w:b/>
          <w:color w:val="0D9488"/>
        </w:rPr>
        <w:t xml:space="preserve">Reactive culture: </w:t>
      </w:r>
      <w:r>
        <w:rPr>
          <w:rFonts w:ascii="Calibri" w:hAnsi="Calibri"/>
          <w:color w:val="1E293B"/>
        </w:rPr>
        <w:t>Without a structured, automated process, teams default to reacting to problems rather than preventing them. This is the 'Firefighter' mindset: high cost, high burnout, high failure rate.</w:t>
      </w:r>
    </w:p>
    <w:p w14:paraId="49B54396" w14:textId="77777777" w:rsidR="00946D4F" w:rsidRDefault="00000000">
      <w:pPr>
        <w:spacing w:after="80"/>
      </w:pPr>
      <w:r>
        <w:rPr>
          <w:rFonts w:ascii="Calibri" w:hAnsi="Calibri"/>
          <w:color w:val="1E293B"/>
        </w:rPr>
        <w:t>The consequence: projects fail not from a single catastrophic event, but from the slow accumulation of unobserved, unactioned risks — exactly the scenario that structured risk management is meant to prevent.</w:t>
      </w:r>
    </w:p>
    <w:p w14:paraId="49EEB3B9" w14:textId="77777777" w:rsidR="00946D4F" w:rsidRDefault="00000000">
      <w:pPr>
        <w:spacing w:before="360" w:after="80"/>
      </w:pPr>
      <w:r>
        <w:rPr>
          <w:rFonts w:ascii="Calibri" w:hAnsi="Calibri"/>
          <w:b/>
          <w:color w:val="0D1B2A"/>
          <w:sz w:val="36"/>
        </w:rPr>
        <w:t>2. Our Solution — RiskSense</w:t>
      </w:r>
    </w:p>
    <w:p w14:paraId="65719F10" w14:textId="77777777" w:rsidR="00946D4F" w:rsidRDefault="00000000">
      <w:pPr>
        <w:spacing w:after="120"/>
      </w:pPr>
      <w:r>
        <w:rPr>
          <w:rFonts w:ascii="Calibri" w:hAnsi="Calibri"/>
          <w:color w:val="1E293B"/>
        </w:rPr>
        <w:t>RiskSense is an AI-powered risk management platform that acts as an intelligent layer on top of an organisation's existing project data infrastructure. It does not replace existing tools — it connects them, analyses them, and delivers actionable intelligence to project teams in real time.</w:t>
      </w:r>
    </w:p>
    <w:p w14:paraId="52F0275E" w14:textId="77777777" w:rsidR="00946D4F" w:rsidRDefault="00000000">
      <w:pPr>
        <w:spacing w:after="120"/>
      </w:pPr>
      <w:r>
        <w:rPr>
          <w:rFonts w:ascii="Calibri" w:hAnsi="Calibri"/>
          <w:color w:val="1E293B"/>
        </w:rPr>
        <w:t>The core engine runs a continuous four-phase cycle:</w:t>
      </w:r>
    </w:p>
    <w:p w14:paraId="622312F8" w14:textId="77777777" w:rsidR="00946D4F" w:rsidRDefault="00000000">
      <w:pPr>
        <w:pStyle w:val="ListBullet"/>
        <w:spacing w:after="60"/>
      </w:pPr>
      <w:r>
        <w:rPr>
          <w:rFonts w:ascii="Calibri" w:hAnsi="Calibri"/>
          <w:b/>
          <w:color w:val="0D9488"/>
        </w:rPr>
        <w:t xml:space="preserve">Identify: </w:t>
      </w:r>
      <w:r>
        <w:rPr>
          <w:rFonts w:ascii="Calibri" w:hAnsi="Calibri"/>
          <w:color w:val="1E293B"/>
        </w:rPr>
        <w:t>Scans all connected data sources in parallel (FMEA-DB, Windchill, KLUSA, PLATO, MRB-DB, Lessons Learned, public regulatory feeds, Excel exports). Deduplicates entries across sources and adds new risks to the project register automatically.</w:t>
      </w:r>
    </w:p>
    <w:p w14:paraId="769B9B6B" w14:textId="77777777" w:rsidR="00946D4F" w:rsidRDefault="00000000">
      <w:pPr>
        <w:pStyle w:val="ListBullet"/>
        <w:spacing w:after="60"/>
      </w:pPr>
      <w:r>
        <w:rPr>
          <w:rFonts w:ascii="Calibri" w:hAnsi="Calibri"/>
          <w:b/>
          <w:color w:val="0D9488"/>
        </w:rPr>
        <w:t xml:space="preserve">Assess: </w:t>
      </w:r>
      <w:r>
        <w:rPr>
          <w:rFonts w:ascii="Calibri" w:hAnsi="Calibri"/>
          <w:color w:val="1E293B"/>
        </w:rPr>
        <w:t>Calculates a Risk Priority Number (RPN) for every identified risk using the proven formula: Severity × Occurrence × Detection. Scores are updated dynamically as new signals arrive.</w:t>
      </w:r>
    </w:p>
    <w:p w14:paraId="4AA64438" w14:textId="77777777" w:rsidR="00946D4F" w:rsidRDefault="00000000">
      <w:pPr>
        <w:pStyle w:val="ListBullet"/>
        <w:spacing w:after="60"/>
      </w:pPr>
      <w:r>
        <w:rPr>
          <w:rFonts w:ascii="Calibri" w:hAnsi="Calibri"/>
          <w:b/>
          <w:color w:val="0D9488"/>
        </w:rPr>
        <w:t xml:space="preserve">Mitigate: </w:t>
      </w:r>
      <w:r>
        <w:rPr>
          <w:rFonts w:ascii="Calibri" w:hAnsi="Calibri"/>
          <w:color w:val="1E293B"/>
        </w:rPr>
        <w:t>Queries Lessons Learned and FMEA historical data to generate concrete, source-cited mitigation recommendations for each risk above a configurable threshold. Auto-escalates critical risks to the right owners.</w:t>
      </w:r>
    </w:p>
    <w:p w14:paraId="6793E4FE" w14:textId="77777777" w:rsidR="00946D4F" w:rsidRDefault="00000000">
      <w:pPr>
        <w:pStyle w:val="ListBullet"/>
        <w:spacing w:after="60"/>
      </w:pPr>
      <w:r>
        <w:rPr>
          <w:rFonts w:ascii="Calibri" w:hAnsi="Calibri"/>
          <w:b/>
          <w:color w:val="0D9488"/>
        </w:rPr>
        <w:t xml:space="preserve">Monitor: </w:t>
      </w:r>
      <w:r>
        <w:rPr>
          <w:rFonts w:ascii="Calibri" w:hAnsi="Calibri"/>
          <w:color w:val="1E293B"/>
        </w:rPr>
        <w:t>Refreshes the risk register on a configurable cycle (default: every 4 hours), writes a full activity log, and notifies the team of any changes in risk status.</w:t>
      </w:r>
    </w:p>
    <w:p w14:paraId="2FC4DD82" w14:textId="77777777" w:rsidR="00946D4F" w:rsidRDefault="00000000">
      <w:pPr>
        <w:spacing w:after="80"/>
      </w:pPr>
      <w:r>
        <w:rPr>
          <w:rFonts w:ascii="Calibri" w:hAnsi="Calibri"/>
          <w:color w:val="1E293B"/>
        </w:rPr>
        <w:lastRenderedPageBreak/>
        <w:t>The result: project managers open RiskSense and immediately see their top prioritised risks, where they came from, and exactly what to do about them — without having to search, aggregate, or score anything manually.</w:t>
      </w:r>
    </w:p>
    <w:p w14:paraId="2E729A05" w14:textId="77777777" w:rsidR="00946D4F" w:rsidRDefault="00000000">
      <w:pPr>
        <w:spacing w:before="360" w:after="80"/>
      </w:pPr>
      <w:r>
        <w:rPr>
          <w:rFonts w:ascii="Calibri" w:hAnsi="Calibri"/>
          <w:b/>
          <w:color w:val="0D1B2A"/>
          <w:sz w:val="36"/>
        </w:rPr>
        <w:t>3. Why Our Solution Wins</w:t>
      </w:r>
    </w:p>
    <w:p w14:paraId="7D8B8AD4" w14:textId="77777777" w:rsidR="00946D4F" w:rsidRDefault="00000000">
      <w:pPr>
        <w:spacing w:after="120"/>
      </w:pPr>
      <w:r>
        <w:rPr>
          <w:rFonts w:ascii="Calibri" w:hAnsi="Calibri"/>
          <w:color w:val="1E293B"/>
        </w:rPr>
        <w:t>Existing alternatives fail on one or more critical dimensions:</w:t>
      </w:r>
    </w:p>
    <w:p w14:paraId="6D59DF20" w14:textId="77777777" w:rsidR="00946D4F" w:rsidRDefault="00000000">
      <w:pPr>
        <w:pStyle w:val="ListBullet"/>
        <w:spacing w:after="60"/>
      </w:pPr>
      <w:r>
        <w:rPr>
          <w:rFonts w:ascii="Calibri" w:hAnsi="Calibri"/>
          <w:b/>
          <w:color w:val="0D9488"/>
        </w:rPr>
        <w:t xml:space="preserve">Excel / manual risk registers: </w:t>
      </w:r>
      <w:r>
        <w:rPr>
          <w:rFonts w:ascii="Calibri" w:hAnsi="Calibri"/>
          <w:color w:val="1E293B"/>
        </w:rPr>
        <w:t>Flexible but entirely manual. No connections to engineering databases. RPN scoring is ad hoc. Register goes stale immediately.</w:t>
      </w:r>
    </w:p>
    <w:p w14:paraId="2BD1AF0F" w14:textId="77777777" w:rsidR="00946D4F" w:rsidRDefault="00000000">
      <w:pPr>
        <w:pStyle w:val="ListBullet"/>
        <w:spacing w:after="60"/>
      </w:pPr>
      <w:r>
        <w:rPr>
          <w:rFonts w:ascii="Calibri" w:hAnsi="Calibri"/>
          <w:b/>
          <w:color w:val="0D9488"/>
        </w:rPr>
        <w:t xml:space="preserve">Generic PM tools (Jira, MS Project): </w:t>
      </w:r>
      <w:r>
        <w:rPr>
          <w:rFonts w:ascii="Calibri" w:hAnsi="Calibri"/>
          <w:color w:val="1E293B"/>
        </w:rPr>
        <w:t>Handle scheduling and task management but have no understanding of engineering risk ontologies, no FMEA integration, and no automated RPN scoring.</w:t>
      </w:r>
    </w:p>
    <w:p w14:paraId="2635A399" w14:textId="77777777" w:rsidR="00946D4F" w:rsidRDefault="00000000">
      <w:pPr>
        <w:pStyle w:val="ListBullet"/>
        <w:spacing w:after="60"/>
      </w:pPr>
      <w:r>
        <w:rPr>
          <w:rFonts w:ascii="Calibri" w:hAnsi="Calibri"/>
          <w:b/>
          <w:color w:val="0D9488"/>
        </w:rPr>
        <w:t xml:space="preserve">Enterprise GRC platforms: </w:t>
      </w:r>
      <w:r>
        <w:rPr>
          <w:rFonts w:ascii="Calibri" w:hAnsi="Calibri"/>
          <w:color w:val="1E293B"/>
        </w:rPr>
        <w:t>Expensive, complex enterprise deployments that require months of configuration and do not leverage AI for continuous monitoring or Lessons Learned matching.</w:t>
      </w:r>
    </w:p>
    <w:p w14:paraId="72D1F38E" w14:textId="77777777" w:rsidR="00946D4F" w:rsidRDefault="00000000">
      <w:pPr>
        <w:spacing w:after="120"/>
      </w:pPr>
      <w:r>
        <w:rPr>
          <w:rFonts w:ascii="Calibri" w:hAnsi="Calibri"/>
          <w:color w:val="1E293B"/>
        </w:rPr>
        <w:t>RiskSense's unique differentiators:</w:t>
      </w:r>
    </w:p>
    <w:p w14:paraId="7B7979A8" w14:textId="77777777" w:rsidR="00946D4F" w:rsidRDefault="00000000">
      <w:pPr>
        <w:pStyle w:val="ListBullet"/>
        <w:spacing w:after="60"/>
      </w:pPr>
      <w:r>
        <w:rPr>
          <w:rFonts w:ascii="Calibri" w:hAnsi="Calibri"/>
          <w:b/>
          <w:color w:val="0D9488"/>
        </w:rPr>
        <w:t xml:space="preserve">Native integration with engineering systems: </w:t>
      </w:r>
      <w:r>
        <w:rPr>
          <w:rFonts w:ascii="Calibri" w:hAnsi="Calibri"/>
          <w:color w:val="1E293B"/>
        </w:rPr>
        <w:t>It reads data from FMEA-DB, Windchill, PLATO, KLUSA — the systems engineers already use. Zero manual data entry for initial risk identification.</w:t>
      </w:r>
    </w:p>
    <w:p w14:paraId="7E3D1199" w14:textId="77777777" w:rsidR="00946D4F" w:rsidRDefault="00000000">
      <w:pPr>
        <w:pStyle w:val="ListBullet"/>
        <w:spacing w:after="60"/>
      </w:pPr>
      <w:r>
        <w:rPr>
          <w:rFonts w:ascii="Calibri" w:hAnsi="Calibri"/>
          <w:b/>
          <w:color w:val="0D9488"/>
        </w:rPr>
        <w:t xml:space="preserve">AI-generated, ranked action list: </w:t>
      </w:r>
      <w:r>
        <w:rPr>
          <w:rFonts w:ascii="Calibri" w:hAnsi="Calibri"/>
          <w:color w:val="1E293B"/>
        </w:rPr>
        <w:t>The AI engine scores, ranks, and explains every risk automatically. Project managers receive a prioritised action list, not a data dump.</w:t>
      </w:r>
    </w:p>
    <w:p w14:paraId="07D90642" w14:textId="77777777" w:rsidR="00946D4F" w:rsidRDefault="00000000">
      <w:pPr>
        <w:pStyle w:val="ListBullet"/>
        <w:spacing w:after="60"/>
      </w:pPr>
      <w:r>
        <w:rPr>
          <w:rFonts w:ascii="Calibri" w:hAnsi="Calibri"/>
          <w:b/>
          <w:color w:val="0D9488"/>
        </w:rPr>
        <w:t xml:space="preserve">Continuous, not point-in-time: </w:t>
      </w:r>
      <w:r>
        <w:rPr>
          <w:rFonts w:ascii="Calibri" w:hAnsi="Calibri"/>
          <w:color w:val="1E293B"/>
        </w:rPr>
        <w:t>Unlike any existing tool, RiskSense runs continuously and updates the register as the world changes — supply chain signals, regulatory changes, internal project events.</w:t>
      </w:r>
    </w:p>
    <w:p w14:paraId="2BD1C634" w14:textId="77777777" w:rsidR="00946D4F" w:rsidRDefault="00000000">
      <w:pPr>
        <w:pStyle w:val="ListBullet"/>
        <w:spacing w:after="60"/>
      </w:pPr>
      <w:r>
        <w:rPr>
          <w:rFonts w:ascii="Calibri" w:hAnsi="Calibri"/>
          <w:b/>
          <w:color w:val="0D9488"/>
        </w:rPr>
        <w:t xml:space="preserve">Transparent sourcing: </w:t>
      </w:r>
      <w:r>
        <w:rPr>
          <w:rFonts w:ascii="Calibri" w:hAnsi="Calibri"/>
          <w:color w:val="1E293B"/>
        </w:rPr>
        <w:t>When recommending mitigations, RiskSense cites which past project or database entry the recommendation came from, building trust and auditability.</w:t>
      </w:r>
    </w:p>
    <w:p w14:paraId="29AD8385" w14:textId="77777777" w:rsidR="00946D4F" w:rsidRDefault="00000000">
      <w:pPr>
        <w:spacing w:before="360" w:after="80"/>
      </w:pPr>
      <w:r>
        <w:rPr>
          <w:rFonts w:ascii="Calibri" w:hAnsi="Calibri"/>
          <w:b/>
          <w:color w:val="0D1B2A"/>
          <w:sz w:val="36"/>
        </w:rPr>
        <w:t>4. How We Validated It</w:t>
      </w:r>
    </w:p>
    <w:p w14:paraId="009B5BDD" w14:textId="77777777" w:rsidR="00946D4F" w:rsidRDefault="00000000">
      <w:pPr>
        <w:spacing w:after="120"/>
      </w:pPr>
      <w:r>
        <w:rPr>
          <w:rFonts w:ascii="Calibri" w:hAnsi="Calibri"/>
          <w:color w:val="1E293B"/>
        </w:rPr>
        <w:t>Our validation process covered three dimensions:</w:t>
      </w:r>
    </w:p>
    <w:p w14:paraId="631FD8E4" w14:textId="77777777" w:rsidR="00946D4F" w:rsidRDefault="00000000">
      <w:pPr>
        <w:pStyle w:val="ListBullet"/>
        <w:spacing w:after="60"/>
      </w:pPr>
      <w:r>
        <w:rPr>
          <w:rFonts w:ascii="Calibri" w:hAnsi="Calibri"/>
          <w:b/>
          <w:color w:val="0D9488"/>
        </w:rPr>
        <w:t xml:space="preserve">Framework alignment: </w:t>
      </w:r>
      <w:r>
        <w:rPr>
          <w:rFonts w:ascii="Calibri" w:hAnsi="Calibri"/>
          <w:color w:val="1E293B"/>
        </w:rPr>
        <w:t>We analysed the Infineon risk management framework (the Identify → Assess → Mitigate → Monitor engine) and mapped RiskSense's architecture directly to it. The tool operationalises the framework rather than replacing it.</w:t>
      </w:r>
    </w:p>
    <w:p w14:paraId="57D09817" w14:textId="77777777" w:rsidR="00946D4F" w:rsidRDefault="00000000">
      <w:pPr>
        <w:pStyle w:val="ListBullet"/>
        <w:spacing w:after="60"/>
      </w:pPr>
      <w:r>
        <w:rPr>
          <w:rFonts w:ascii="Calibri" w:hAnsi="Calibri"/>
          <w:b/>
          <w:color w:val="0D9488"/>
        </w:rPr>
        <w:t xml:space="preserve">Paper prototype testing: </w:t>
      </w:r>
      <w:r>
        <w:rPr>
          <w:rFonts w:ascii="Calibri" w:hAnsi="Calibri"/>
          <w:color w:val="1E293B"/>
        </w:rPr>
        <w:t>We built a paper prototype simulating the full user journey — project setup, KI scanning, risk suggestion, risk register — and walked through it to validate the flow and identify missing steps (e.g., the 'Please wait… KI' loading screen, which became a key trust-building moment in the UI).</w:t>
      </w:r>
    </w:p>
    <w:p w14:paraId="786799EC" w14:textId="77777777" w:rsidR="00946D4F" w:rsidRDefault="00000000">
      <w:pPr>
        <w:pStyle w:val="ListBullet"/>
        <w:spacing w:after="60"/>
      </w:pPr>
      <w:r>
        <w:rPr>
          <w:rFonts w:ascii="Calibri" w:hAnsi="Calibri"/>
          <w:b/>
          <w:color w:val="0D9488"/>
        </w:rPr>
        <w:t xml:space="preserve">Working prototype: </w:t>
      </w:r>
      <w:r>
        <w:rPr>
          <w:rFonts w:ascii="Calibri" w:hAnsi="Calibri"/>
          <w:color w:val="1E293B"/>
        </w:rPr>
        <w:t>We built a working interactive prototype using Lovable and the Anthropic API. The prototype demonstrates live AI-powered risk scanning with real RPN scoring, a persistent risk register, and automatic monitoring cycles. It is available for live demonstration.</w:t>
      </w:r>
    </w:p>
    <w:p w14:paraId="3988DE55" w14:textId="77777777" w:rsidR="00946D4F" w:rsidRDefault="00000000">
      <w:pPr>
        <w:spacing w:before="360" w:after="80"/>
      </w:pPr>
      <w:r>
        <w:rPr>
          <w:rFonts w:ascii="Calibri" w:hAnsi="Calibri"/>
          <w:b/>
          <w:color w:val="0D1B2A"/>
          <w:sz w:val="36"/>
        </w:rPr>
        <w:t>5. Business Model</w:t>
      </w:r>
    </w:p>
    <w:p w14:paraId="52C6366C" w14:textId="77777777" w:rsidR="00946D4F" w:rsidRDefault="00000000">
      <w:pPr>
        <w:spacing w:after="120"/>
      </w:pPr>
      <w:r>
        <w:rPr>
          <w:rFonts w:ascii="Calibri" w:hAnsi="Calibri"/>
          <w:color w:val="1E293B"/>
        </w:rPr>
        <w:t>RiskSense is positioned as a B2B SaaS platform targeting engineering-intensive industries (semiconductor, automotive, aerospace, industrial). Revenue model:</w:t>
      </w:r>
    </w:p>
    <w:p w14:paraId="1922BB62" w14:textId="77777777" w:rsidR="00946D4F" w:rsidRDefault="00000000">
      <w:pPr>
        <w:pStyle w:val="ListBullet"/>
        <w:spacing w:after="60"/>
      </w:pPr>
      <w:r>
        <w:rPr>
          <w:rFonts w:ascii="Calibri" w:hAnsi="Calibri"/>
          <w:b/>
          <w:color w:val="0D9488"/>
        </w:rPr>
        <w:lastRenderedPageBreak/>
        <w:t xml:space="preserve">Core SaaS subscription: </w:t>
      </w:r>
      <w:r>
        <w:rPr>
          <w:rFonts w:ascii="Calibri" w:hAnsi="Calibri"/>
          <w:color w:val="1E293B"/>
        </w:rPr>
        <w:t>Per-seat or per-project subscription for engineering teams. Target: €300–800/month per project team.</w:t>
      </w:r>
    </w:p>
    <w:p w14:paraId="647B5286" w14:textId="77777777" w:rsidR="00946D4F" w:rsidRDefault="00000000">
      <w:pPr>
        <w:pStyle w:val="ListBullet"/>
        <w:spacing w:after="60"/>
      </w:pPr>
      <w:r>
        <w:rPr>
          <w:rFonts w:ascii="Calibri" w:hAnsi="Calibri"/>
          <w:b/>
          <w:color w:val="0D9488"/>
        </w:rPr>
        <w:t xml:space="preserve">Integration modules: </w:t>
      </w:r>
      <w:r>
        <w:rPr>
          <w:rFonts w:ascii="Calibri" w:hAnsi="Calibri"/>
          <w:color w:val="1E293B"/>
        </w:rPr>
        <w:t>Paid connectors for enterprise systems (Windchill, SAP, MES, PLATO). High-margin, low-churn.</w:t>
      </w:r>
    </w:p>
    <w:p w14:paraId="6A19DA29" w14:textId="77777777" w:rsidR="00946D4F" w:rsidRDefault="00000000">
      <w:pPr>
        <w:pStyle w:val="ListBullet"/>
        <w:spacing w:after="60"/>
      </w:pPr>
      <w:r>
        <w:rPr>
          <w:rFonts w:ascii="Calibri" w:hAnsi="Calibri"/>
          <w:b/>
          <w:color w:val="0D9488"/>
        </w:rPr>
        <w:t xml:space="preserve">Risk Intelligence API: </w:t>
      </w:r>
      <w:r>
        <w:rPr>
          <w:rFonts w:ascii="Calibri" w:hAnsi="Calibri"/>
          <w:color w:val="1E293B"/>
        </w:rPr>
        <w:t>Expose scored, anonymised risk signals via API to other PM platforms and industry benchmarking services.</w:t>
      </w:r>
    </w:p>
    <w:p w14:paraId="7CD33DEB" w14:textId="77777777" w:rsidR="00946D4F" w:rsidRDefault="00000000">
      <w:pPr>
        <w:pStyle w:val="ListBullet"/>
        <w:spacing w:after="60"/>
      </w:pPr>
      <w:r>
        <w:rPr>
          <w:rFonts w:ascii="Calibri" w:hAnsi="Calibri"/>
          <w:b/>
          <w:color w:val="0D9488"/>
        </w:rPr>
        <w:t xml:space="preserve">On-premise / private cloud: </w:t>
      </w:r>
      <w:r>
        <w:rPr>
          <w:rFonts w:ascii="Calibri" w:hAnsi="Calibri"/>
          <w:color w:val="1E293B"/>
        </w:rPr>
        <w:t>Private deployment for regulated industries (automotive IATF, aerospace AS9100, medical ISO 13485).</w:t>
      </w:r>
    </w:p>
    <w:p w14:paraId="4EFB5735" w14:textId="77777777" w:rsidR="00946D4F" w:rsidRDefault="00000000">
      <w:pPr>
        <w:spacing w:after="80"/>
      </w:pPr>
      <w:r>
        <w:rPr>
          <w:rFonts w:ascii="Calibri" w:hAnsi="Calibri"/>
          <w:color w:val="1E293B"/>
        </w:rPr>
        <w:t>Year 1 target: 100 project teams × €500/month average = €600K ARR. Path to €5M ARR at 1,000 teams — achievable given the scale of engineering project management globally.</w:t>
      </w:r>
    </w:p>
    <w:p w14:paraId="1B4D6964" w14:textId="77777777" w:rsidR="00946D4F" w:rsidRDefault="00000000">
      <w:pPr>
        <w:spacing w:before="360" w:after="80"/>
      </w:pPr>
      <w:r>
        <w:rPr>
          <w:rFonts w:ascii="Calibri" w:hAnsi="Calibri"/>
          <w:b/>
          <w:color w:val="0D1B2A"/>
          <w:sz w:val="36"/>
        </w:rPr>
        <w:t>6. The Team</w:t>
      </w:r>
    </w:p>
    <w:p w14:paraId="03D0F2B4" w14:textId="77777777" w:rsidR="00946D4F" w:rsidRDefault="00000000">
      <w:pPr>
        <w:pStyle w:val="ListBullet"/>
        <w:spacing w:after="60"/>
      </w:pPr>
      <w:r>
        <w:rPr>
          <w:rFonts w:ascii="Calibri" w:hAnsi="Calibri"/>
          <w:b/>
          <w:color w:val="0D9488"/>
        </w:rPr>
        <w:t xml:space="preserve">Saudamini: </w:t>
      </w:r>
      <w:r>
        <w:rPr>
          <w:rFonts w:ascii="Calibri" w:hAnsi="Calibri"/>
          <w:color w:val="1E293B"/>
        </w:rPr>
        <w:t>Product design, user research, and solution architecture. Led paper prototype development and user journey design.</w:t>
      </w:r>
    </w:p>
    <w:p w14:paraId="01FBA0E9" w14:textId="77777777" w:rsidR="00946D4F" w:rsidRDefault="00000000">
      <w:pPr>
        <w:pStyle w:val="ListBullet"/>
        <w:spacing w:after="60"/>
      </w:pPr>
      <w:r>
        <w:rPr>
          <w:rFonts w:ascii="Calibri" w:hAnsi="Calibri"/>
          <w:b/>
          <w:color w:val="0D9488"/>
        </w:rPr>
        <w:t xml:space="preserve">Charan: </w:t>
      </w:r>
      <w:r>
        <w:rPr>
          <w:rFonts w:ascii="Calibri" w:hAnsi="Calibri"/>
          <w:color w:val="1E293B"/>
        </w:rPr>
        <w:t>AI engine architecture and Anthropic API integration. Built the continuous monitoring logic and risk scoring system.</w:t>
      </w:r>
    </w:p>
    <w:p w14:paraId="2D58C2FE" w14:textId="77777777" w:rsidR="00946D4F" w:rsidRDefault="00000000">
      <w:pPr>
        <w:pStyle w:val="ListBullet"/>
        <w:spacing w:after="60"/>
      </w:pPr>
      <w:r>
        <w:rPr>
          <w:rFonts w:ascii="Calibri" w:hAnsi="Calibri"/>
          <w:b/>
          <w:color w:val="0D9488"/>
        </w:rPr>
        <w:t xml:space="preserve">Rohit: </w:t>
      </w:r>
      <w:r>
        <w:rPr>
          <w:rFonts w:ascii="Calibri" w:hAnsi="Calibri"/>
          <w:color w:val="1E293B"/>
        </w:rPr>
        <w:t>Frontend development and live demo. Built the Lovable prototype and interactive UI.</w:t>
      </w:r>
    </w:p>
    <w:p w14:paraId="413D5488" w14:textId="77777777" w:rsidR="00946D4F" w:rsidRDefault="00000000">
      <w:pPr>
        <w:pStyle w:val="ListBullet"/>
        <w:spacing w:after="60"/>
      </w:pPr>
      <w:r>
        <w:rPr>
          <w:rFonts w:ascii="Calibri" w:hAnsi="Calibri"/>
          <w:b/>
          <w:color w:val="0D9488"/>
        </w:rPr>
        <w:t xml:space="preserve">Hansi: </w:t>
      </w:r>
      <w:r>
        <w:rPr>
          <w:rFonts w:ascii="Calibri" w:hAnsi="Calibri"/>
          <w:color w:val="1E293B"/>
        </w:rPr>
        <w:t>Business model development, BMC validation, and pitch preparation.</w:t>
      </w:r>
    </w:p>
    <w:p w14:paraId="68E0B01C" w14:textId="77777777" w:rsidR="00946D4F" w:rsidRDefault="00000000">
      <w:pPr>
        <w:spacing w:after="80"/>
      </w:pPr>
      <w:r>
        <w:rPr>
          <w:rFonts w:ascii="Calibri" w:hAnsi="Calibri"/>
          <w:color w:val="1E293B"/>
        </w:rPr>
        <w:t>In under two days, this team went from a blank brief to a validated concept, a paper prototype, a full architecture, and a working AI-powered prototype. We combine engineering depth, product thinking, and business acumen — exactly the skill set this challenge demands.</w:t>
      </w:r>
    </w:p>
    <w:p w14:paraId="0ED0FFB0" w14:textId="77777777" w:rsidR="00946D4F" w:rsidRDefault="00000000">
      <w:pPr>
        <w:spacing w:before="360" w:after="80"/>
      </w:pPr>
      <w:r>
        <w:rPr>
          <w:rFonts w:ascii="Calibri" w:hAnsi="Calibri"/>
          <w:b/>
          <w:color w:val="0D1B2A"/>
          <w:sz w:val="36"/>
        </w:rPr>
        <w:t>7. Next Steps</w:t>
      </w:r>
    </w:p>
    <w:p w14:paraId="02EDAA6E" w14:textId="77777777" w:rsidR="00946D4F" w:rsidRDefault="00000000">
      <w:pPr>
        <w:spacing w:after="120"/>
      </w:pPr>
      <w:r>
        <w:rPr>
          <w:rFonts w:ascii="Calibri" w:hAnsi="Calibri"/>
          <w:color w:val="1E293B"/>
        </w:rPr>
        <w:t>We are asking for support to:</w:t>
      </w:r>
    </w:p>
    <w:p w14:paraId="72AFE6DE" w14:textId="77777777" w:rsidR="00946D4F" w:rsidRDefault="00000000">
      <w:pPr>
        <w:pStyle w:val="ListBullet"/>
        <w:spacing w:after="60"/>
      </w:pPr>
      <w:r>
        <w:rPr>
          <w:rFonts w:ascii="Calibri" w:hAnsi="Calibri"/>
          <w:color w:val="1E293B"/>
        </w:rPr>
        <w:t>Connect RiskSense to real Infineon project data sources for a live pilot with project managers.</w:t>
      </w:r>
    </w:p>
    <w:p w14:paraId="6138D998" w14:textId="77777777" w:rsidR="00946D4F" w:rsidRDefault="00000000">
      <w:pPr>
        <w:pStyle w:val="ListBullet"/>
        <w:spacing w:after="60"/>
      </w:pPr>
      <w:r>
        <w:rPr>
          <w:rFonts w:ascii="Calibri" w:hAnsi="Calibri"/>
          <w:color w:val="1E293B"/>
        </w:rPr>
        <w:t>Develop the connector library for Windchill, PLATO, and KLUSA APIs.</w:t>
      </w:r>
    </w:p>
    <w:p w14:paraId="5D00923B" w14:textId="77777777" w:rsidR="00946D4F" w:rsidRDefault="00000000">
      <w:pPr>
        <w:pStyle w:val="ListBullet"/>
        <w:spacing w:after="60"/>
      </w:pPr>
      <w:r>
        <w:rPr>
          <w:rFonts w:ascii="Calibri" w:hAnsi="Calibri"/>
          <w:color w:val="1E293B"/>
        </w:rPr>
        <w:t>Run a 30-day monitoring pilot on one active project and measure risk detection rate vs. the current manual process.</w:t>
      </w:r>
    </w:p>
    <w:p w14:paraId="79F6BE7E" w14:textId="77777777" w:rsidR="00946D4F" w:rsidRDefault="00000000">
      <w:pPr>
        <w:spacing w:after="80"/>
      </w:pPr>
      <w:r>
        <w:rPr>
          <w:rFonts w:ascii="Calibri" w:hAnsi="Calibri"/>
          <w:color w:val="1E293B"/>
        </w:rPr>
        <w:t>The best risk is the one you never had. RiskSense makes that possible.</w:t>
      </w:r>
    </w:p>
    <w:p w14:paraId="09F6D88B" w14:textId="77777777" w:rsidR="00946D4F" w:rsidRDefault="00000000">
      <w:pPr>
        <w:pBdr>
          <w:top w:val="single" w:sz="4" w:space="1" w:color="CBD5E1"/>
        </w:pBdr>
        <w:jc w:val="center"/>
      </w:pPr>
      <w:r>
        <w:rPr>
          <w:rFonts w:ascii="Calibri" w:hAnsi="Calibri"/>
          <w:color w:val="64748B"/>
          <w:sz w:val="18"/>
        </w:rPr>
        <w:t>RiskSense  ·  Saudamini, Charan, Rohit, Hansi  ·  Infineon Venture Hack '26  ·  Submission: 10.06.2026</w:t>
      </w:r>
    </w:p>
    <w:sectPr w:rsidR="00946D4F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9637023">
    <w:abstractNumId w:val="8"/>
  </w:num>
  <w:num w:numId="2" w16cid:durableId="490289099">
    <w:abstractNumId w:val="6"/>
  </w:num>
  <w:num w:numId="3" w16cid:durableId="2102558604">
    <w:abstractNumId w:val="5"/>
  </w:num>
  <w:num w:numId="4" w16cid:durableId="1072238291">
    <w:abstractNumId w:val="4"/>
  </w:num>
  <w:num w:numId="5" w16cid:durableId="1096360788">
    <w:abstractNumId w:val="7"/>
  </w:num>
  <w:num w:numId="6" w16cid:durableId="1583221953">
    <w:abstractNumId w:val="3"/>
  </w:num>
  <w:num w:numId="7" w16cid:durableId="1020162962">
    <w:abstractNumId w:val="2"/>
  </w:num>
  <w:num w:numId="8" w16cid:durableId="932201832">
    <w:abstractNumId w:val="1"/>
  </w:num>
  <w:num w:numId="9" w16cid:durableId="1644583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63A7"/>
    <w:rsid w:val="00946D4F"/>
    <w:rsid w:val="00AA1D8D"/>
    <w:rsid w:val="00B47730"/>
    <w:rsid w:val="00CB0664"/>
    <w:rsid w:val="00FB42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5C49FD"/>
  <w14:defaultImageDpi w14:val="300"/>
  <w15:docId w15:val="{0CAF1E36-FA68-4153-8A1B-30357CDD7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1060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e1469a1d, 3692ffa3</cp:lastModifiedBy>
  <cp:revision>2</cp:revision>
  <dcterms:created xsi:type="dcterms:W3CDTF">2013-12-23T23:15:00Z</dcterms:created>
  <dcterms:modified xsi:type="dcterms:W3CDTF">2026-07-01T20:11:00Z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6d64a769-fba0-4b96-9d3e-61571822fdc2</vt:lpwstr>
  </property>
</Properties>
</file>