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color w:val="2E5A3C"/>
          <w:sz w:val="20"/>
        </w:rPr>
        <w:t>TOMA DE REQUISITOS — PROYECTO ERP ALMAHUE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GoSocket — onboarding QA + kickoff 01/09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2"/>
        </w:rPr>
        <w:t>Tercero (Pablo Rodriguez). No redefine el negocio de Almahue; define enrolamiento, CAF, API y campos del DTE.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0"/>
        </w:rPr>
        <w:t>Clasificación de voces: cliente (Agustín, MJ/María José/María Jesús, Lupe, Mario, Fran, Rodrigo) = requisito o as-is. Proveedor (Carlos Vallejos, Sergio / Devint) = hipótesis o propuesta. Minutas IA = índice, no evidencia. Transcripción verbatim = fuente primaria.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Sesión QA (verbatim, MJ + Mario + Carlos)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Portal sandbox, certificado, CAF/folios, API keys, lectura de errores, PDF.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ASR: Cuba=QA, CUAA=CAF, IO Faktura=IOFactura.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Kickoff 01/09 (minuta, MJ ausente)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Mesa API: BillerId, DefaultCertificate, resolución SII (CAE). Sin cliente → no es requisito de negocio; es contrato técnico del facturador.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Intención de negocio (viene de R2, no de esta mesa)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MJ quería libro de COMPRAS en línea (recepción) + contabilizar. La mesa se centró en EMISIÓN. Registrar la asimetría.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