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 w:eastAsia="Calibri"/>
          <w:b/>
          <w:color w:val="2E5A3C"/>
          <w:sz w:val="20"/>
        </w:rPr>
        <w:t>TOMA DE REQUISITOS — PROYECTO ERP ALMAHUE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R3 — 28/07/2026 · Demo ERP nuevo con MJ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2"/>
        </w:rPr>
        <w:t>NO es recorrido de Agrosoft. El as-is aparece cuando MJ dice «actualmente nosotros…». El ERP se reconoció como calco de AgroSmart/Agrosoft.</w:t>
      </w:r>
    </w:p>
    <w:p>
      <w:pPr>
        <w:spacing w:after="160"/>
      </w:pPr>
      <w:r>
        <w:rPr>
          <w:rFonts w:ascii="Calibri" w:hAnsi="Calibri" w:eastAsia="Calibri"/>
          <w:b w:val="0"/>
          <w:i/>
          <w:sz w:val="20"/>
        </w:rPr>
        <w:t>Clasificación de voces: cliente (Agustín, MJ/María José/María Jesús, Lupe, Mario, Fran, Rodrigo) = requisito o as-is. Proveedor (Carlos Vallejos, Sergio / Devint) = hipótesis o propuesta. Minutas IA = índice, no evidencia. Transcripción verbatim = fuente primaria.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Ficha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Campo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Detalle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transcripcion-reunion3.md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Video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fuentes/videos/reunion3-2026-07-28.mp4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Cliente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Solo MJ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Proveedor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Carlos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Duración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≈ 58 min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8"/>
        </w:rPr>
        <w:t>AS-IS que declara MJ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Roles administrativos vs operativos; usuarios por empresa.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Contabilizar documento: cuenta, centro de costo, glosa, cliente.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Devolución = salida proveedor.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Plan de cuentas por niveles.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Requisitos / comentarios de cliente sobre el ERP nuevo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Aprobación de proformas con control (incluye re-aprobar si se edita y ver quién aprobó) — pedido explícito de MJ en esta reunión.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Renombrar «Libro comercial» → «Libro de ventas» (la minuta IA lo omitió).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Contraseña: poder visualizarla al escribir (hallazgo de UX).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Riesgo documental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sz w:val="22"/>
        </w:rPr>
        <w:t>La minuta IA borra al hablante y convierte preguntas abiertas en hechos. Cualquier «decisión R3» debe re-leerse en la transcripción.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