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1B365D"/>
          <w:sz w:val="34"/>
        </w:rPr>
        <w:t>ERP ALMAHUE · INFORME CONSOLIDADO DE REQUERIMIENTOS Y ESTADO</w:t>
      </w:r>
    </w:p>
    <w:p>
      <w:pPr>
        <w:spacing w:before="0" w:after="240"/>
      </w:pPr>
      <w:r>
        <w:rPr>
          <w:rFonts w:ascii="Segoe UI" w:hAnsi="Segoe UI"/>
          <w:color w:val="475569"/>
          <w:sz w:val="20"/>
        </w:rPr>
        <w:t>Auditoría Técnica y Operativa de Sesiones · Lunes 26, Martes 27 y Miércoles 28 de Octubre de 2026</w:t>
        <w:br/>
        <w:t>Contraste Integral: Transcripciones Whisper large-v3 · Minutas de Sala · Apuntes de Consultoría · Base de Código</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3168"/>
            <w:shd w:fill="F8FAFC"/>
            <w:tcMar>
              <w:top w:w="60" w:type="dxa"/>
              <w:bottom w:w="60" w:type="dxa"/>
              <w:left w:w="100" w:type="dxa"/>
              <w:right w:w="100" w:type="dxa"/>
            </w:tcMar>
          </w:tcPr>
          <w:p>
            <w:pPr>
              <w:spacing w:after="0"/>
            </w:pPr>
            <w:r>
              <w:rPr>
                <w:rFonts w:ascii="Segoe UI" w:hAnsi="Segoe UI"/>
                <w:b/>
                <w:color w:val="1B365D"/>
                <w:sz w:val="18"/>
              </w:rPr>
              <w:t>Proyecto y Versión</w:t>
            </w:r>
          </w:p>
        </w:tc>
        <w:tc>
          <w:tcPr>
            <w:tcW w:type="dxa" w:w="7056"/>
            <w:shd w:fill="FFFFFF"/>
            <w:tcMar>
              <w:top w:w="60" w:type="dxa"/>
              <w:bottom w:w="60" w:type="dxa"/>
              <w:left w:w="100" w:type="dxa"/>
              <w:right w:w="100" w:type="dxa"/>
            </w:tcMar>
          </w:tcPr>
          <w:p>
            <w:pPr>
              <w:spacing w:after="0"/>
            </w:pPr>
            <w:r>
              <w:rPr>
                <w:rFonts w:ascii="Segoe UI" w:hAnsi="Segoe UI"/>
                <w:color w:val="1E293B"/>
                <w:sz w:val="18"/>
              </w:rPr>
              <w:t>ERP Almahue · Versión Octubre 2026 (Semana 15 - Pre-Temporada Alta)</w:t>
            </w:r>
          </w:p>
        </w:tc>
      </w:tr>
      <w:tr>
        <w:tc>
          <w:tcPr>
            <w:tcW w:type="dxa" w:w="3168"/>
            <w:shd w:fill="F8FAFC"/>
            <w:tcMar>
              <w:top w:w="60" w:type="dxa"/>
              <w:bottom w:w="60" w:type="dxa"/>
              <w:left w:w="100" w:type="dxa"/>
              <w:right w:w="100" w:type="dxa"/>
            </w:tcMar>
          </w:tcPr>
          <w:p>
            <w:pPr>
              <w:spacing w:after="0"/>
            </w:pPr>
            <w:r>
              <w:rPr>
                <w:rFonts w:ascii="Segoe UI" w:hAnsi="Segoe UI"/>
                <w:b/>
                <w:color w:val="1B365D"/>
                <w:sz w:val="18"/>
              </w:rPr>
              <w:t>Fuentes Primarias Analizadas</w:t>
            </w:r>
          </w:p>
        </w:tc>
        <w:tc>
          <w:tcPr>
            <w:tcW w:type="dxa" w:w="7056"/>
            <w:shd w:fill="FFFFFF"/>
            <w:tcMar>
              <w:top w:w="60" w:type="dxa"/>
              <w:bottom w:w="60" w:type="dxa"/>
              <w:left w:w="100" w:type="dxa"/>
              <w:right w:w="100" w:type="dxa"/>
            </w:tcMar>
          </w:tcPr>
          <w:p>
            <w:pPr>
              <w:spacing w:after="0"/>
            </w:pPr>
            <w:r>
              <w:rPr>
                <w:rFonts w:ascii="Segoe UI" w:hAnsi="Segoe UI"/>
                <w:color w:val="1E293B"/>
                <w:sz w:val="18"/>
              </w:rPr>
              <w:t>5 Sesiones: Lunes 26 (AM 01:24:40 + PM 01:54:00) | Martes 27 (AM 01:18:10 + PM 01:47:50) | Miércoles 28 (03:04:06)</w:t>
            </w:r>
          </w:p>
        </w:tc>
      </w:tr>
      <w:tr>
        <w:tc>
          <w:tcPr>
            <w:tcW w:type="dxa" w:w="3168"/>
            <w:shd w:fill="F8FAFC"/>
            <w:tcMar>
              <w:top w:w="60" w:type="dxa"/>
              <w:bottom w:w="60" w:type="dxa"/>
              <w:left w:w="100" w:type="dxa"/>
              <w:right w:w="100" w:type="dxa"/>
            </w:tcMar>
          </w:tcPr>
          <w:p>
            <w:pPr>
              <w:spacing w:after="0"/>
            </w:pPr>
            <w:r>
              <w:rPr>
                <w:rFonts w:ascii="Segoe UI" w:hAnsi="Segoe UI"/>
                <w:b/>
                <w:color w:val="1B365D"/>
                <w:sz w:val="18"/>
              </w:rPr>
              <w:t>Participantes Clave</w:t>
            </w:r>
          </w:p>
        </w:tc>
        <w:tc>
          <w:tcPr>
            <w:tcW w:type="dxa" w:w="7056"/>
            <w:shd w:fill="FFFFFF"/>
            <w:tcMar>
              <w:top w:w="60" w:type="dxa"/>
              <w:bottom w:w="60" w:type="dxa"/>
              <w:left w:w="100" w:type="dxa"/>
              <w:right w:w="100" w:type="dxa"/>
            </w:tcMar>
          </w:tcPr>
          <w:p>
            <w:pPr>
              <w:spacing w:after="0"/>
            </w:pPr>
            <w:r>
              <w:rPr>
                <w:rFonts w:ascii="Segoe UI" w:hAnsi="Segoe UI"/>
                <w:color w:val="1E293B"/>
                <w:sz w:val="18"/>
              </w:rPr>
              <w:t>Cliente Almahue: María Jesús (MJ), Lupe, Fran, Mario, José Tomás, Agustín | Consultoría: Carlos V., Sergio</w:t>
            </w:r>
          </w:p>
        </w:tc>
      </w:tr>
      <w:tr>
        <w:tc>
          <w:tcPr>
            <w:tcW w:type="dxa" w:w="3168"/>
            <w:shd w:fill="F8FAFC"/>
            <w:tcMar>
              <w:top w:w="60" w:type="dxa"/>
              <w:bottom w:w="60" w:type="dxa"/>
              <w:left w:w="100" w:type="dxa"/>
              <w:right w:w="100" w:type="dxa"/>
            </w:tcMar>
          </w:tcPr>
          <w:p>
            <w:pPr>
              <w:spacing w:after="0"/>
            </w:pPr>
            <w:r>
              <w:rPr>
                <w:rFonts w:ascii="Segoe UI" w:hAnsi="Segoe UI"/>
                <w:b/>
                <w:color w:val="1B365D"/>
                <w:sz w:val="18"/>
              </w:rPr>
              <w:t>Entornos de Validación</w:t>
            </w:r>
          </w:p>
        </w:tc>
        <w:tc>
          <w:tcPr>
            <w:tcW w:type="dxa" w:w="7056"/>
            <w:shd w:fill="FFFFFF"/>
            <w:tcMar>
              <w:top w:w="60" w:type="dxa"/>
              <w:bottom w:w="60" w:type="dxa"/>
              <w:left w:w="100" w:type="dxa"/>
              <w:right w:w="100" w:type="dxa"/>
            </w:tcMar>
          </w:tcPr>
          <w:p>
            <w:pPr>
              <w:spacing w:after="0"/>
            </w:pPr>
            <w:r>
              <w:rPr>
                <w:rFonts w:ascii="Segoe UI" w:hAnsi="Segoe UI"/>
                <w:color w:val="1E293B"/>
                <w:sz w:val="18"/>
              </w:rPr>
              <w:t>Local Front: http://localhost:5174 | Local API: http://localhost:3001 | Servidor Prod: http://45.7.229.46/almahue-erp/</w:t>
            </w:r>
          </w:p>
        </w:tc>
      </w:tr>
    </w:tbl>
    <w:p>
      <w:pPr>
        <w:spacing w:after="160"/>
      </w:pPr>
    </w:p>
    <w:p>
      <w:pPr>
        <w:keepNext/>
        <w:spacing w:before="240" w:after="80"/>
      </w:pPr>
      <w:r>
        <w:rPr>
          <w:rFonts w:ascii="Segoe UI" w:hAnsi="Segoe UI"/>
          <w:b/>
          <w:color w:val="1B365D"/>
          <w:sz w:val="26"/>
        </w:rPr>
        <w:t>1. Resumen Ejecutivo y Matriz Global de Estado</w:t>
      </w:r>
    </w:p>
    <w:p>
      <w:pPr>
        <w:spacing w:after="160"/>
      </w:pPr>
      <w:r>
        <w:rPr>
          <w:rFonts w:ascii="Segoe UI" w:hAnsi="Segoe UI"/>
          <w:color w:val="1E293B"/>
          <w:sz w:val="19"/>
        </w:rPr>
        <w:t>A lo largo de las 5 sesiones de trabajo presenciales y remotas de los días 26, 27 y 28 de octubre de 2026, se consolidaron un total de 44 requerimientos y acuerdos operativos distribuidos en 7 módulos funcionales. Cada requerimiento ha sido contrastado contra las transcripciones oficiales generadas con Whisper large-v3, las minutas de sala, los apuntes originales de consultoría ('revision en cliente.txt') y la base de código actualmente desplegada en el servidor de pruebas y producción.</w:t>
      </w:r>
    </w:p>
    <w:tbl>
      <w:tblPr>
        <w:tblW w:type="auto" w:w="0"/>
        <w:jc w:val="center"/>
        <w:tblLayout w:type="fixed"/>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2556"/>
        <w:gridCol w:w="2556"/>
        <w:gridCol w:w="2556"/>
        <w:gridCol w:w="2556"/>
      </w:tblGrid>
      <w:tr>
        <w:tc>
          <w:tcPr>
            <w:tcW w:type="dxa" w:w="2549"/>
            <w:shd w:fill="F1F5F9"/>
            <w:tcMar>
              <w:top w:w="80" w:type="dxa"/>
              <w:bottom w:w="20" w:type="dxa"/>
              <w:left w:w="80" w:type="dxa"/>
              <w:right w:w="80" w:type="dxa"/>
            </w:tcMar>
          </w:tcPr>
          <w:p>
            <w:pPr>
              <w:spacing w:after="40"/>
              <w:jc w:val="center"/>
            </w:pPr>
            <w:r>
              <w:rPr>
                <w:rFonts w:ascii="Segoe UI" w:hAnsi="Segoe UI"/>
                <w:b/>
                <w:color w:val="1B365D"/>
                <w:sz w:val="17"/>
              </w:rPr>
              <w:t>TOTAL AUDITADO</w:t>
            </w:r>
          </w:p>
        </w:tc>
        <w:tc>
          <w:tcPr>
            <w:tcW w:type="dxa" w:w="2549"/>
            <w:shd w:fill="DCFCE7"/>
            <w:tcMar>
              <w:top w:w="80" w:type="dxa"/>
              <w:bottom w:w="20" w:type="dxa"/>
              <w:left w:w="80" w:type="dxa"/>
              <w:right w:w="80" w:type="dxa"/>
            </w:tcMar>
          </w:tcPr>
          <w:p>
            <w:pPr>
              <w:spacing w:after="40"/>
              <w:jc w:val="center"/>
            </w:pPr>
            <w:r>
              <w:rPr>
                <w:rFonts w:ascii="Segoe UI" w:hAnsi="Segoe UI"/>
                <w:b/>
                <w:color w:val="166534"/>
                <w:sz w:val="17"/>
              </w:rPr>
              <w:t>COMPLETOS</w:t>
            </w:r>
          </w:p>
        </w:tc>
        <w:tc>
          <w:tcPr>
            <w:tcW w:type="dxa" w:w="2549"/>
            <w:shd w:fill="FEF9C3"/>
            <w:tcMar>
              <w:top w:w="80" w:type="dxa"/>
              <w:bottom w:w="20" w:type="dxa"/>
              <w:left w:w="80" w:type="dxa"/>
              <w:right w:w="80" w:type="dxa"/>
            </w:tcMar>
          </w:tcPr>
          <w:p>
            <w:pPr>
              <w:spacing w:after="40"/>
              <w:jc w:val="center"/>
            </w:pPr>
            <w:r>
              <w:rPr>
                <w:rFonts w:ascii="Segoe UI" w:hAnsi="Segoe UI"/>
                <w:b/>
                <w:color w:val="854D0E"/>
                <w:sz w:val="17"/>
              </w:rPr>
              <w:t>PARCIALES</w:t>
            </w:r>
          </w:p>
        </w:tc>
        <w:tc>
          <w:tcPr>
            <w:tcW w:type="dxa" w:w="2549"/>
            <w:shd w:fill="FEE2E2"/>
            <w:tcMar>
              <w:top w:w="80" w:type="dxa"/>
              <w:bottom w:w="20" w:type="dxa"/>
              <w:left w:w="80" w:type="dxa"/>
              <w:right w:w="80" w:type="dxa"/>
            </w:tcMar>
          </w:tcPr>
          <w:p>
            <w:pPr>
              <w:spacing w:after="40"/>
              <w:jc w:val="center"/>
            </w:pPr>
            <w:r>
              <w:rPr>
                <w:rFonts w:ascii="Segoe UI" w:hAnsi="Segoe UI"/>
                <w:b/>
                <w:color w:val="991B1B"/>
                <w:sz w:val="17"/>
              </w:rPr>
              <w:t>FALTANTES</w:t>
            </w:r>
          </w:p>
        </w:tc>
      </w:tr>
      <w:tr>
        <w:tc>
          <w:tcPr>
            <w:tcW w:type="dxa" w:w="2549"/>
            <w:shd w:fill="F1F5F9"/>
            <w:tcMar>
              <w:top w:w="20" w:type="dxa"/>
              <w:bottom w:w="80" w:type="dxa"/>
              <w:left w:w="80" w:type="dxa"/>
              <w:right w:w="80" w:type="dxa"/>
            </w:tcMar>
          </w:tcPr>
          <w:p>
            <w:pPr>
              <w:spacing w:after="0"/>
              <w:jc w:val="center"/>
            </w:pPr>
            <w:r>
              <w:rPr>
                <w:rFonts w:ascii="Segoe UI" w:hAnsi="Segoe UI"/>
                <w:b/>
                <w:color w:val="1B365D"/>
                <w:sz w:val="26"/>
              </w:rPr>
              <w:t>44 Puntos</w:t>
              <w:br/>
            </w:r>
            <w:r>
              <w:rPr>
                <w:rFonts w:ascii="Segoe UI" w:hAnsi="Segoe UI"/>
                <w:color w:val="1B365D"/>
                <w:sz w:val="16"/>
              </w:rPr>
              <w:t>100% Requerimientos</w:t>
            </w:r>
          </w:p>
        </w:tc>
        <w:tc>
          <w:tcPr>
            <w:tcW w:type="dxa" w:w="2549"/>
            <w:shd w:fill="DCFCE7"/>
            <w:tcMar>
              <w:top w:w="20" w:type="dxa"/>
              <w:bottom w:w="80" w:type="dxa"/>
              <w:left w:w="80" w:type="dxa"/>
              <w:right w:w="80" w:type="dxa"/>
            </w:tcMar>
          </w:tcPr>
          <w:p>
            <w:pPr>
              <w:spacing w:after="0"/>
              <w:jc w:val="center"/>
            </w:pPr>
            <w:r>
              <w:rPr>
                <w:rFonts w:ascii="Segoe UI" w:hAnsi="Segoe UI"/>
                <w:b/>
                <w:color w:val="166534"/>
                <w:sz w:val="26"/>
              </w:rPr>
              <w:t>23 Puntos</w:t>
              <w:br/>
            </w:r>
            <w:r>
              <w:rPr>
                <w:rFonts w:ascii="Segoe UI" w:hAnsi="Segoe UI"/>
                <w:color w:val="166534"/>
                <w:sz w:val="16"/>
              </w:rPr>
              <w:t>52.3% Operativos</w:t>
            </w:r>
          </w:p>
        </w:tc>
        <w:tc>
          <w:tcPr>
            <w:tcW w:type="dxa" w:w="2549"/>
            <w:shd w:fill="FEF9C3"/>
            <w:tcMar>
              <w:top w:w="20" w:type="dxa"/>
              <w:bottom w:w="80" w:type="dxa"/>
              <w:left w:w="80" w:type="dxa"/>
              <w:right w:w="80" w:type="dxa"/>
            </w:tcMar>
          </w:tcPr>
          <w:p>
            <w:pPr>
              <w:spacing w:after="0"/>
              <w:jc w:val="center"/>
            </w:pPr>
            <w:r>
              <w:rPr>
                <w:rFonts w:ascii="Segoe UI" w:hAnsi="Segoe UI"/>
                <w:b/>
                <w:color w:val="854D0E"/>
                <w:sz w:val="26"/>
              </w:rPr>
              <w:t>16 Puntos</w:t>
              <w:br/>
            </w:r>
            <w:r>
              <w:rPr>
                <w:rFonts w:ascii="Segoe UI" w:hAnsi="Segoe UI"/>
                <w:color w:val="854D0E"/>
                <w:sz w:val="16"/>
              </w:rPr>
              <w:t>36.4% En Desarrollo</w:t>
            </w:r>
          </w:p>
        </w:tc>
        <w:tc>
          <w:tcPr>
            <w:tcW w:type="dxa" w:w="2549"/>
            <w:shd w:fill="FEE2E2"/>
            <w:tcMar>
              <w:top w:w="20" w:type="dxa"/>
              <w:bottom w:w="80" w:type="dxa"/>
              <w:left w:w="80" w:type="dxa"/>
              <w:right w:w="80" w:type="dxa"/>
            </w:tcMar>
          </w:tcPr>
          <w:p>
            <w:pPr>
              <w:spacing w:after="0"/>
              <w:jc w:val="center"/>
            </w:pPr>
            <w:r>
              <w:rPr>
                <w:rFonts w:ascii="Segoe UI" w:hAnsi="Segoe UI"/>
                <w:b/>
                <w:color w:val="991B1B"/>
                <w:sz w:val="26"/>
              </w:rPr>
              <w:t>5 Puntos</w:t>
              <w:br/>
            </w:r>
            <w:r>
              <w:rPr>
                <w:rFonts w:ascii="Segoe UI" w:hAnsi="Segoe UI"/>
                <w:color w:val="991B1B"/>
                <w:sz w:val="16"/>
              </w:rPr>
              <w:t>11.4% Por Iniciar</w:t>
            </w:r>
          </w:p>
        </w:tc>
      </w:tr>
    </w:tbl>
    <w:p>
      <w:pPr>
        <w:spacing w:after="200"/>
      </w:pPr>
    </w:p>
    <w:p>
      <w:pPr>
        <w:spacing w:before="160" w:after="80"/>
      </w:pPr>
      <w:r>
        <w:rPr>
          <w:rFonts w:ascii="Segoe UI" w:hAnsi="Segoe UI"/>
          <w:b/>
          <w:color w:val="1B365D"/>
          <w:sz w:val="22"/>
        </w:rPr>
        <w:t>Matriz de Estado por Módulo Operativo</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1704"/>
        <w:gridCol w:w="1704"/>
        <w:gridCol w:w="1704"/>
        <w:gridCol w:w="1704"/>
        <w:gridCol w:w="1704"/>
        <w:gridCol w:w="1704"/>
      </w:tblGrid>
      <w:tr>
        <w:tc>
          <w:tcPr>
            <w:tcW w:type="dxa" w:w="3744"/>
            <w:shd w:fill="1B365D"/>
            <w:tcMar>
              <w:top w:w="80" w:type="dxa"/>
              <w:bottom w:w="80" w:type="dxa"/>
              <w:left w:w="80" w:type="dxa"/>
              <w:right w:w="80" w:type="dxa"/>
            </w:tcMar>
          </w:tcPr>
          <w:p>
            <w:pPr>
              <w:jc w:val="left"/>
            </w:pPr>
            <w:r>
              <w:rPr>
                <w:rFonts w:ascii="Segoe UI" w:hAnsi="Segoe UI"/>
                <w:b/>
                <w:color w:val="FFFFFF"/>
                <w:sz w:val="18"/>
              </w:rPr>
              <w:t>Módulo Operativo</w:t>
            </w:r>
          </w:p>
        </w:tc>
        <w:tc>
          <w:tcPr>
            <w:tcW w:type="dxa" w:w="1152"/>
            <w:shd w:fill="1B365D"/>
            <w:tcMar>
              <w:top w:w="80" w:type="dxa"/>
              <w:bottom w:w="80" w:type="dxa"/>
              <w:left w:w="80" w:type="dxa"/>
              <w:right w:w="80" w:type="dxa"/>
            </w:tcMar>
          </w:tcPr>
          <w:p>
            <w:pPr>
              <w:jc w:val="center"/>
            </w:pPr>
            <w:r>
              <w:rPr>
                <w:rFonts w:ascii="Segoe UI" w:hAnsi="Segoe UI"/>
                <w:b/>
                <w:color w:val="FFFFFF"/>
                <w:sz w:val="18"/>
              </w:rPr>
              <w:t>Total</w:t>
            </w:r>
          </w:p>
        </w:tc>
        <w:tc>
          <w:tcPr>
            <w:tcW w:type="dxa" w:w="1296"/>
            <w:shd w:fill="1B365D"/>
            <w:tcMar>
              <w:top w:w="80" w:type="dxa"/>
              <w:bottom w:w="80" w:type="dxa"/>
              <w:left w:w="80" w:type="dxa"/>
              <w:right w:w="80" w:type="dxa"/>
            </w:tcMar>
          </w:tcPr>
          <w:p>
            <w:pPr>
              <w:jc w:val="center"/>
            </w:pPr>
            <w:r>
              <w:rPr>
                <w:rFonts w:ascii="Segoe UI" w:hAnsi="Segoe UI"/>
                <w:b/>
                <w:color w:val="FFFFFF"/>
                <w:sz w:val="18"/>
              </w:rPr>
              <w:t>Completo</w:t>
            </w:r>
          </w:p>
        </w:tc>
        <w:tc>
          <w:tcPr>
            <w:tcW w:type="dxa" w:w="1296"/>
            <w:shd w:fill="1B365D"/>
            <w:tcMar>
              <w:top w:w="80" w:type="dxa"/>
              <w:bottom w:w="80" w:type="dxa"/>
              <w:left w:w="80" w:type="dxa"/>
              <w:right w:w="80" w:type="dxa"/>
            </w:tcMar>
          </w:tcPr>
          <w:p>
            <w:pPr>
              <w:jc w:val="center"/>
            </w:pPr>
            <w:r>
              <w:rPr>
                <w:rFonts w:ascii="Segoe UI" w:hAnsi="Segoe UI"/>
                <w:b/>
                <w:color w:val="FFFFFF"/>
                <w:sz w:val="18"/>
              </w:rPr>
              <w:t>Parcial</w:t>
            </w:r>
          </w:p>
        </w:tc>
        <w:tc>
          <w:tcPr>
            <w:tcW w:type="dxa" w:w="1296"/>
            <w:shd w:fill="1B365D"/>
            <w:tcMar>
              <w:top w:w="80" w:type="dxa"/>
              <w:bottom w:w="80" w:type="dxa"/>
              <w:left w:w="80" w:type="dxa"/>
              <w:right w:w="80" w:type="dxa"/>
            </w:tcMar>
          </w:tcPr>
          <w:p>
            <w:pPr>
              <w:jc w:val="center"/>
            </w:pPr>
            <w:r>
              <w:rPr>
                <w:rFonts w:ascii="Segoe UI" w:hAnsi="Segoe UI"/>
                <w:b/>
                <w:color w:val="FFFFFF"/>
                <w:sz w:val="18"/>
              </w:rPr>
              <w:t>Faltante</w:t>
            </w:r>
          </w:p>
        </w:tc>
        <w:tc>
          <w:tcPr>
            <w:tcW w:type="dxa" w:w="1440"/>
            <w:shd w:fill="1B365D"/>
            <w:tcMar>
              <w:top w:w="80" w:type="dxa"/>
              <w:bottom w:w="80" w:type="dxa"/>
              <w:left w:w="80" w:type="dxa"/>
              <w:right w:w="80" w:type="dxa"/>
            </w:tcMar>
          </w:tcPr>
          <w:p>
            <w:pPr>
              <w:jc w:val="center"/>
            </w:pPr>
            <w:r>
              <w:rPr>
                <w:rFonts w:ascii="Segoe UI" w:hAnsi="Segoe UI"/>
                <w:b/>
                <w:color w:val="FFFFFF"/>
                <w:sz w:val="18"/>
              </w:rPr>
              <w:t>% Avance</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1. Contabilidad, Plan de Cuentas y Reportes</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12</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6</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6</w:t>
            </w:r>
          </w:p>
        </w:tc>
        <w:tc>
          <w:tcPr>
            <w:tcW w:type="dxa" w:w="1296"/>
            <w:shd w:fill="FFFFFF"/>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50.0%</w:t>
            </w:r>
          </w:p>
        </w:tc>
      </w:tr>
      <w:tr>
        <w:tc>
          <w:tcPr>
            <w:tcW w:type="dxa" w:w="3744"/>
            <w:shd w:fill="F8FAFC"/>
            <w:tcMar>
              <w:top w:w="60" w:type="dxa"/>
              <w:bottom w:w="60" w:type="dxa"/>
              <w:left w:w="80" w:type="dxa"/>
              <w:right w:w="80" w:type="dxa"/>
            </w:tcMar>
          </w:tcPr>
          <w:p>
            <w:pPr>
              <w:spacing w:after="0"/>
              <w:jc w:val="left"/>
            </w:pPr>
            <w:r>
              <w:rPr>
                <w:rFonts w:ascii="Segoe UI" w:hAnsi="Segoe UI"/>
                <w:color w:val="1E293B"/>
                <w:sz w:val="18"/>
              </w:rPr>
              <w:t>2. Compras, Proveedores y Notas de Cobro</w:t>
            </w:r>
          </w:p>
        </w:tc>
        <w:tc>
          <w:tcPr>
            <w:tcW w:type="dxa" w:w="1152"/>
            <w:shd w:fill="F8FAFC"/>
            <w:tcMar>
              <w:top w:w="60" w:type="dxa"/>
              <w:bottom w:w="60" w:type="dxa"/>
              <w:left w:w="80" w:type="dxa"/>
              <w:right w:w="80" w:type="dxa"/>
            </w:tcMar>
          </w:tcPr>
          <w:p>
            <w:pPr>
              <w:spacing w:after="0"/>
              <w:jc w:val="center"/>
            </w:pPr>
            <w:r>
              <w:rPr>
                <w:rFonts w:ascii="Segoe UI" w:hAnsi="Segoe UI"/>
                <w:color w:val="1E293B"/>
                <w:sz w:val="18"/>
              </w:rPr>
              <w:t>11</w:t>
            </w:r>
          </w:p>
        </w:tc>
        <w:tc>
          <w:tcPr>
            <w:tcW w:type="dxa" w:w="1296"/>
            <w:shd w:fill="F8FAFC"/>
            <w:tcMar>
              <w:top w:w="60" w:type="dxa"/>
              <w:bottom w:w="60" w:type="dxa"/>
              <w:left w:w="80" w:type="dxa"/>
              <w:right w:w="80" w:type="dxa"/>
            </w:tcMar>
          </w:tcPr>
          <w:p>
            <w:pPr>
              <w:spacing w:after="0"/>
              <w:jc w:val="center"/>
            </w:pPr>
            <w:r>
              <w:rPr>
                <w:rFonts w:ascii="Segoe UI" w:hAnsi="Segoe UI"/>
                <w:b/>
                <w:color w:val="166534"/>
                <w:sz w:val="18"/>
              </w:rPr>
              <w:t>5</w:t>
            </w:r>
          </w:p>
        </w:tc>
        <w:tc>
          <w:tcPr>
            <w:tcW w:type="dxa" w:w="1296"/>
            <w:shd w:fill="F8FAFC"/>
            <w:tcMar>
              <w:top w:w="60" w:type="dxa"/>
              <w:bottom w:w="60" w:type="dxa"/>
              <w:left w:w="80" w:type="dxa"/>
              <w:right w:w="80" w:type="dxa"/>
            </w:tcMar>
          </w:tcPr>
          <w:p>
            <w:pPr>
              <w:spacing w:after="0"/>
              <w:jc w:val="center"/>
            </w:pPr>
            <w:r>
              <w:rPr>
                <w:rFonts w:ascii="Segoe UI" w:hAnsi="Segoe UI"/>
                <w:b/>
                <w:color w:val="854D0E"/>
                <w:sz w:val="18"/>
              </w:rPr>
              <w:t>5</w:t>
            </w:r>
          </w:p>
        </w:tc>
        <w:tc>
          <w:tcPr>
            <w:tcW w:type="dxa" w:w="1296"/>
            <w:shd w:fill="F8FAFC"/>
            <w:tcMar>
              <w:top w:w="60" w:type="dxa"/>
              <w:bottom w:w="60" w:type="dxa"/>
              <w:left w:w="80" w:type="dxa"/>
              <w:right w:w="80" w:type="dxa"/>
            </w:tcMar>
          </w:tcPr>
          <w:p>
            <w:pPr>
              <w:spacing w:after="0"/>
              <w:jc w:val="center"/>
            </w:pPr>
            <w:r>
              <w:rPr>
                <w:rFonts w:ascii="Segoe UI" w:hAnsi="Segoe UI"/>
                <w:b/>
                <w:color w:val="991B1B"/>
                <w:sz w:val="18"/>
              </w:rPr>
              <w:t>1</w:t>
            </w:r>
          </w:p>
        </w:tc>
        <w:tc>
          <w:tcPr>
            <w:tcW w:type="dxa" w:w="1440"/>
            <w:shd w:fill="F8FAFC"/>
            <w:tcMar>
              <w:top w:w="60" w:type="dxa"/>
              <w:bottom w:w="60" w:type="dxa"/>
              <w:left w:w="80" w:type="dxa"/>
              <w:right w:w="80" w:type="dxa"/>
            </w:tcMar>
          </w:tcPr>
          <w:p>
            <w:pPr>
              <w:spacing w:after="0"/>
              <w:jc w:val="center"/>
            </w:pPr>
            <w:r>
              <w:rPr>
                <w:rFonts w:ascii="Segoe UI" w:hAnsi="Segoe UI"/>
                <w:color w:val="1E293B"/>
                <w:sz w:val="18"/>
              </w:rPr>
              <w:t>45.5%</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3. Contratistas Agrícolas</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7</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4</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3</w:t>
            </w:r>
          </w:p>
        </w:tc>
        <w:tc>
          <w:tcPr>
            <w:tcW w:type="dxa" w:w="1296"/>
            <w:shd w:fill="FFFFFF"/>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57.1%</w:t>
            </w:r>
          </w:p>
        </w:tc>
      </w:tr>
      <w:tr>
        <w:tc>
          <w:tcPr>
            <w:tcW w:type="dxa" w:w="3744"/>
            <w:shd w:fill="F8FAFC"/>
            <w:tcMar>
              <w:top w:w="60" w:type="dxa"/>
              <w:bottom w:w="60" w:type="dxa"/>
              <w:left w:w="80" w:type="dxa"/>
              <w:right w:w="80" w:type="dxa"/>
            </w:tcMar>
          </w:tcPr>
          <w:p>
            <w:pPr>
              <w:spacing w:after="0"/>
              <w:jc w:val="left"/>
            </w:pPr>
            <w:r>
              <w:rPr>
                <w:rFonts w:ascii="Segoe UI" w:hAnsi="Segoe UI"/>
                <w:color w:val="1E293B"/>
                <w:sz w:val="18"/>
              </w:rPr>
              <w:t>4. Insumos y Bodega</w:t>
            </w:r>
          </w:p>
        </w:tc>
        <w:tc>
          <w:tcPr>
            <w:tcW w:type="dxa" w:w="1152"/>
            <w:shd w:fill="F8FAFC"/>
            <w:tcMar>
              <w:top w:w="60" w:type="dxa"/>
              <w:bottom w:w="60" w:type="dxa"/>
              <w:left w:w="80" w:type="dxa"/>
              <w:right w:w="80" w:type="dxa"/>
            </w:tcMar>
          </w:tcPr>
          <w:p>
            <w:pPr>
              <w:spacing w:after="0"/>
              <w:jc w:val="center"/>
            </w:pPr>
            <w:r>
              <w:rPr>
                <w:rFonts w:ascii="Segoe UI" w:hAnsi="Segoe UI"/>
                <w:color w:val="1E293B"/>
                <w:sz w:val="18"/>
              </w:rPr>
              <w:t>5</w:t>
            </w:r>
          </w:p>
        </w:tc>
        <w:tc>
          <w:tcPr>
            <w:tcW w:type="dxa" w:w="1296"/>
            <w:shd w:fill="F8FAFC"/>
            <w:tcMar>
              <w:top w:w="60" w:type="dxa"/>
              <w:bottom w:w="60" w:type="dxa"/>
              <w:left w:w="80" w:type="dxa"/>
              <w:right w:w="80" w:type="dxa"/>
            </w:tcMar>
          </w:tcPr>
          <w:p>
            <w:pPr>
              <w:spacing w:after="0"/>
              <w:jc w:val="center"/>
            </w:pPr>
            <w:r>
              <w:rPr>
                <w:rFonts w:ascii="Segoe UI" w:hAnsi="Segoe UI"/>
                <w:b/>
                <w:color w:val="166534"/>
                <w:sz w:val="18"/>
              </w:rPr>
              <w:t>3</w:t>
            </w:r>
          </w:p>
        </w:tc>
        <w:tc>
          <w:tcPr>
            <w:tcW w:type="dxa" w:w="1296"/>
            <w:shd w:fill="F8FAFC"/>
            <w:tcMar>
              <w:top w:w="60" w:type="dxa"/>
              <w:bottom w:w="60" w:type="dxa"/>
              <w:left w:w="80" w:type="dxa"/>
              <w:right w:w="80" w:type="dxa"/>
            </w:tcMar>
          </w:tcPr>
          <w:p>
            <w:pPr>
              <w:spacing w:after="0"/>
              <w:jc w:val="center"/>
            </w:pPr>
            <w:r>
              <w:rPr>
                <w:rFonts w:ascii="Segoe UI" w:hAnsi="Segoe UI"/>
                <w:b/>
                <w:color w:val="854D0E"/>
                <w:sz w:val="18"/>
              </w:rPr>
              <w:t>2</w:t>
            </w:r>
          </w:p>
        </w:tc>
        <w:tc>
          <w:tcPr>
            <w:tcW w:type="dxa" w:w="1296"/>
            <w:shd w:fill="F8FAFC"/>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8FAFC"/>
            <w:tcMar>
              <w:top w:w="60" w:type="dxa"/>
              <w:bottom w:w="60" w:type="dxa"/>
              <w:left w:w="80" w:type="dxa"/>
              <w:right w:w="80" w:type="dxa"/>
            </w:tcMar>
          </w:tcPr>
          <w:p>
            <w:pPr>
              <w:spacing w:after="0"/>
              <w:jc w:val="center"/>
            </w:pPr>
            <w:r>
              <w:rPr>
                <w:rFonts w:ascii="Segoe UI" w:hAnsi="Segoe UI"/>
                <w:color w:val="1E293B"/>
                <w:sz w:val="18"/>
              </w:rPr>
              <w:t>60.0%</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5. Activos Fijos</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3</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1</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0</w:t>
            </w:r>
          </w:p>
        </w:tc>
        <w:tc>
          <w:tcPr>
            <w:tcW w:type="dxa" w:w="1296"/>
            <w:shd w:fill="FFFFFF"/>
            <w:tcMar>
              <w:top w:w="60" w:type="dxa"/>
              <w:bottom w:w="60" w:type="dxa"/>
              <w:left w:w="80" w:type="dxa"/>
              <w:right w:w="80" w:type="dxa"/>
            </w:tcMar>
          </w:tcPr>
          <w:p>
            <w:pPr>
              <w:spacing w:after="0"/>
              <w:jc w:val="center"/>
            </w:pPr>
            <w:r>
              <w:rPr>
                <w:rFonts w:ascii="Segoe UI" w:hAnsi="Segoe UI"/>
                <w:b/>
                <w:color w:val="991B1B"/>
                <w:sz w:val="18"/>
              </w:rPr>
              <w:t>2</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33.3%</w:t>
            </w:r>
          </w:p>
        </w:tc>
      </w:tr>
      <w:tr>
        <w:tc>
          <w:tcPr>
            <w:tcW w:type="dxa" w:w="3744"/>
            <w:shd w:fill="F8FAFC"/>
            <w:tcMar>
              <w:top w:w="60" w:type="dxa"/>
              <w:bottom w:w="60" w:type="dxa"/>
              <w:left w:w="80" w:type="dxa"/>
              <w:right w:w="80" w:type="dxa"/>
            </w:tcMar>
          </w:tcPr>
          <w:p>
            <w:pPr>
              <w:spacing w:after="0"/>
              <w:jc w:val="left"/>
            </w:pPr>
            <w:r>
              <w:rPr>
                <w:rFonts w:ascii="Segoe UI" w:hAnsi="Segoe UI"/>
                <w:color w:val="1E293B"/>
                <w:sz w:val="18"/>
              </w:rPr>
              <w:t>6. Tesorería, Bancos y Contrapartes</w:t>
            </w:r>
          </w:p>
        </w:tc>
        <w:tc>
          <w:tcPr>
            <w:tcW w:type="dxa" w:w="1152"/>
            <w:shd w:fill="F8FAFC"/>
            <w:tcMar>
              <w:top w:w="60" w:type="dxa"/>
              <w:bottom w:w="60" w:type="dxa"/>
              <w:left w:w="80" w:type="dxa"/>
              <w:right w:w="80" w:type="dxa"/>
            </w:tcMar>
          </w:tcPr>
          <w:p>
            <w:pPr>
              <w:spacing w:after="0"/>
              <w:jc w:val="center"/>
            </w:pPr>
            <w:r>
              <w:rPr>
                <w:rFonts w:ascii="Segoe UI" w:hAnsi="Segoe UI"/>
                <w:color w:val="1E293B"/>
                <w:sz w:val="18"/>
              </w:rPr>
              <w:t>6</w:t>
            </w:r>
          </w:p>
        </w:tc>
        <w:tc>
          <w:tcPr>
            <w:tcW w:type="dxa" w:w="1296"/>
            <w:shd w:fill="F8FAFC"/>
            <w:tcMar>
              <w:top w:w="60" w:type="dxa"/>
              <w:bottom w:w="60" w:type="dxa"/>
              <w:left w:w="80" w:type="dxa"/>
              <w:right w:w="80" w:type="dxa"/>
            </w:tcMar>
          </w:tcPr>
          <w:p>
            <w:pPr>
              <w:spacing w:after="0"/>
              <w:jc w:val="center"/>
            </w:pPr>
            <w:r>
              <w:rPr>
                <w:rFonts w:ascii="Segoe UI" w:hAnsi="Segoe UI"/>
                <w:b/>
                <w:color w:val="166534"/>
                <w:sz w:val="18"/>
              </w:rPr>
              <w:t>3</w:t>
            </w:r>
          </w:p>
        </w:tc>
        <w:tc>
          <w:tcPr>
            <w:tcW w:type="dxa" w:w="1296"/>
            <w:shd w:fill="F8FAFC"/>
            <w:tcMar>
              <w:top w:w="60" w:type="dxa"/>
              <w:bottom w:w="60" w:type="dxa"/>
              <w:left w:w="80" w:type="dxa"/>
              <w:right w:w="80" w:type="dxa"/>
            </w:tcMar>
          </w:tcPr>
          <w:p>
            <w:pPr>
              <w:spacing w:after="0"/>
              <w:jc w:val="center"/>
            </w:pPr>
            <w:r>
              <w:rPr>
                <w:rFonts w:ascii="Segoe UI" w:hAnsi="Segoe UI"/>
                <w:b/>
                <w:color w:val="854D0E"/>
                <w:sz w:val="18"/>
              </w:rPr>
              <w:t>3</w:t>
            </w:r>
          </w:p>
        </w:tc>
        <w:tc>
          <w:tcPr>
            <w:tcW w:type="dxa" w:w="1296"/>
            <w:shd w:fill="F8FAFC"/>
            <w:tcMar>
              <w:top w:w="60" w:type="dxa"/>
              <w:bottom w:w="60" w:type="dxa"/>
              <w:left w:w="80" w:type="dxa"/>
              <w:right w:w="80" w:type="dxa"/>
            </w:tcMar>
          </w:tcPr>
          <w:p>
            <w:pPr>
              <w:spacing w:after="0"/>
              <w:jc w:val="center"/>
            </w:pPr>
            <w:r>
              <w:rPr>
                <w:rFonts w:ascii="Segoe UI" w:hAnsi="Segoe UI"/>
                <w:color w:val="1E293B"/>
                <w:sz w:val="18"/>
              </w:rPr>
              <w:t>0</w:t>
            </w:r>
          </w:p>
        </w:tc>
        <w:tc>
          <w:tcPr>
            <w:tcW w:type="dxa" w:w="1440"/>
            <w:shd w:fill="F8FAFC"/>
            <w:tcMar>
              <w:top w:w="60" w:type="dxa"/>
              <w:bottom w:w="60" w:type="dxa"/>
              <w:left w:w="80" w:type="dxa"/>
              <w:right w:w="80" w:type="dxa"/>
            </w:tcMar>
          </w:tcPr>
          <w:p>
            <w:pPr>
              <w:spacing w:after="0"/>
              <w:jc w:val="center"/>
            </w:pPr>
            <w:r>
              <w:rPr>
                <w:rFonts w:ascii="Segoe UI" w:hAnsi="Segoe UI"/>
                <w:color w:val="1E293B"/>
                <w:sz w:val="18"/>
              </w:rPr>
              <w:t>50.0%</w:t>
            </w:r>
          </w:p>
        </w:tc>
      </w:tr>
      <w:tr>
        <w:tc>
          <w:tcPr>
            <w:tcW w:type="dxa" w:w="3744"/>
            <w:shd w:fill="FFFFFF"/>
            <w:tcMar>
              <w:top w:w="60" w:type="dxa"/>
              <w:bottom w:w="60" w:type="dxa"/>
              <w:left w:w="80" w:type="dxa"/>
              <w:right w:w="80" w:type="dxa"/>
            </w:tcMar>
          </w:tcPr>
          <w:p>
            <w:pPr>
              <w:spacing w:after="0"/>
              <w:jc w:val="left"/>
            </w:pPr>
            <w:r>
              <w:rPr>
                <w:rFonts w:ascii="Segoe UI" w:hAnsi="Segoe UI"/>
                <w:color w:val="1E293B"/>
                <w:sz w:val="18"/>
              </w:rPr>
              <w:t>7. Comercial, Packing y Comex</w:t>
            </w:r>
          </w:p>
        </w:tc>
        <w:tc>
          <w:tcPr>
            <w:tcW w:type="dxa" w:w="1152"/>
            <w:shd w:fill="FFFFFF"/>
            <w:tcMar>
              <w:top w:w="60" w:type="dxa"/>
              <w:bottom w:w="60" w:type="dxa"/>
              <w:left w:w="80" w:type="dxa"/>
              <w:right w:w="80" w:type="dxa"/>
            </w:tcMar>
          </w:tcPr>
          <w:p>
            <w:pPr>
              <w:spacing w:after="0"/>
              <w:jc w:val="center"/>
            </w:pPr>
            <w:r>
              <w:rPr>
                <w:rFonts w:ascii="Segoe UI" w:hAnsi="Segoe UI"/>
                <w:color w:val="1E293B"/>
                <w:sz w:val="18"/>
              </w:rPr>
              <w:t>4</w:t>
            </w:r>
          </w:p>
        </w:tc>
        <w:tc>
          <w:tcPr>
            <w:tcW w:type="dxa" w:w="1296"/>
            <w:shd w:fill="FFFFFF"/>
            <w:tcMar>
              <w:top w:w="60" w:type="dxa"/>
              <w:bottom w:w="60" w:type="dxa"/>
              <w:left w:w="80" w:type="dxa"/>
              <w:right w:w="80" w:type="dxa"/>
            </w:tcMar>
          </w:tcPr>
          <w:p>
            <w:pPr>
              <w:spacing w:after="0"/>
              <w:jc w:val="center"/>
            </w:pPr>
            <w:r>
              <w:rPr>
                <w:rFonts w:ascii="Segoe UI" w:hAnsi="Segoe UI"/>
                <w:b/>
                <w:color w:val="166534"/>
                <w:sz w:val="18"/>
              </w:rPr>
              <w:t>1</w:t>
            </w:r>
          </w:p>
        </w:tc>
        <w:tc>
          <w:tcPr>
            <w:tcW w:type="dxa" w:w="1296"/>
            <w:shd w:fill="FFFFFF"/>
            <w:tcMar>
              <w:top w:w="60" w:type="dxa"/>
              <w:bottom w:w="60" w:type="dxa"/>
              <w:left w:w="80" w:type="dxa"/>
              <w:right w:w="80" w:type="dxa"/>
            </w:tcMar>
          </w:tcPr>
          <w:p>
            <w:pPr>
              <w:spacing w:after="0"/>
              <w:jc w:val="center"/>
            </w:pPr>
            <w:r>
              <w:rPr>
                <w:rFonts w:ascii="Segoe UI" w:hAnsi="Segoe UI"/>
                <w:b/>
                <w:color w:val="854D0E"/>
                <w:sz w:val="18"/>
              </w:rPr>
              <w:t>1</w:t>
            </w:r>
          </w:p>
        </w:tc>
        <w:tc>
          <w:tcPr>
            <w:tcW w:type="dxa" w:w="1296"/>
            <w:shd w:fill="FFFFFF"/>
            <w:tcMar>
              <w:top w:w="60" w:type="dxa"/>
              <w:bottom w:w="60" w:type="dxa"/>
              <w:left w:w="80" w:type="dxa"/>
              <w:right w:w="80" w:type="dxa"/>
            </w:tcMar>
          </w:tcPr>
          <w:p>
            <w:pPr>
              <w:spacing w:after="0"/>
              <w:jc w:val="center"/>
            </w:pPr>
            <w:r>
              <w:rPr>
                <w:rFonts w:ascii="Segoe UI" w:hAnsi="Segoe UI"/>
                <w:b/>
                <w:color w:val="991B1B"/>
                <w:sz w:val="18"/>
              </w:rPr>
              <w:t>2</w:t>
            </w:r>
          </w:p>
        </w:tc>
        <w:tc>
          <w:tcPr>
            <w:tcW w:type="dxa" w:w="1440"/>
            <w:shd w:fill="FFFFFF"/>
            <w:tcMar>
              <w:top w:w="60" w:type="dxa"/>
              <w:bottom w:w="60" w:type="dxa"/>
              <w:left w:w="80" w:type="dxa"/>
              <w:right w:w="80" w:type="dxa"/>
            </w:tcMar>
          </w:tcPr>
          <w:p>
            <w:pPr>
              <w:spacing w:after="0"/>
              <w:jc w:val="center"/>
            </w:pPr>
            <w:r>
              <w:rPr>
                <w:rFonts w:ascii="Segoe UI" w:hAnsi="Segoe UI"/>
                <w:color w:val="1E293B"/>
                <w:sz w:val="18"/>
              </w:rPr>
              <w:t>25.0%</w:t>
            </w:r>
          </w:p>
        </w:tc>
      </w:tr>
      <w:tr>
        <w:tc>
          <w:tcPr>
            <w:tcW w:type="dxa" w:w="3744"/>
            <w:shd w:fill="F1F5F9"/>
            <w:tcMar>
              <w:top w:w="60" w:type="dxa"/>
              <w:bottom w:w="60" w:type="dxa"/>
              <w:left w:w="80" w:type="dxa"/>
              <w:right w:w="80" w:type="dxa"/>
            </w:tcMar>
          </w:tcPr>
          <w:p>
            <w:pPr>
              <w:spacing w:after="0"/>
              <w:jc w:val="left"/>
            </w:pPr>
            <w:r>
              <w:rPr>
                <w:rFonts w:ascii="Segoe UI" w:hAnsi="Segoe UI"/>
                <w:b/>
                <w:color w:val="1B365D"/>
                <w:sz w:val="18"/>
              </w:rPr>
              <w:t>TOTAL GENERAL CONSOLIDADO</w:t>
            </w:r>
          </w:p>
        </w:tc>
        <w:tc>
          <w:tcPr>
            <w:tcW w:type="dxa" w:w="1152"/>
            <w:shd w:fill="F1F5F9"/>
            <w:tcMar>
              <w:top w:w="60" w:type="dxa"/>
              <w:bottom w:w="60" w:type="dxa"/>
              <w:left w:w="80" w:type="dxa"/>
              <w:right w:w="80" w:type="dxa"/>
            </w:tcMar>
          </w:tcPr>
          <w:p>
            <w:pPr>
              <w:spacing w:after="0"/>
              <w:jc w:val="center"/>
            </w:pPr>
            <w:r>
              <w:rPr>
                <w:rFonts w:ascii="Segoe UI" w:hAnsi="Segoe UI"/>
                <w:b/>
                <w:color w:val="1B365D"/>
                <w:sz w:val="18"/>
              </w:rPr>
              <w:t>44</w:t>
            </w:r>
          </w:p>
        </w:tc>
        <w:tc>
          <w:tcPr>
            <w:tcW w:type="dxa" w:w="1296"/>
            <w:shd w:fill="F1F5F9"/>
            <w:tcMar>
              <w:top w:w="60" w:type="dxa"/>
              <w:bottom w:w="60" w:type="dxa"/>
              <w:left w:w="80" w:type="dxa"/>
              <w:right w:w="80" w:type="dxa"/>
            </w:tcMar>
          </w:tcPr>
          <w:p>
            <w:pPr>
              <w:spacing w:after="0"/>
              <w:jc w:val="center"/>
            </w:pPr>
            <w:r>
              <w:rPr>
                <w:rFonts w:ascii="Segoe UI" w:hAnsi="Segoe UI"/>
                <w:b/>
                <w:color w:val="1B365D"/>
                <w:sz w:val="18"/>
              </w:rPr>
              <w:t>23</w:t>
            </w:r>
          </w:p>
        </w:tc>
        <w:tc>
          <w:tcPr>
            <w:tcW w:type="dxa" w:w="1296"/>
            <w:shd w:fill="F1F5F9"/>
            <w:tcMar>
              <w:top w:w="60" w:type="dxa"/>
              <w:bottom w:w="60" w:type="dxa"/>
              <w:left w:w="80" w:type="dxa"/>
              <w:right w:w="80" w:type="dxa"/>
            </w:tcMar>
          </w:tcPr>
          <w:p>
            <w:pPr>
              <w:spacing w:after="0"/>
              <w:jc w:val="center"/>
            </w:pPr>
            <w:r>
              <w:rPr>
                <w:rFonts w:ascii="Segoe UI" w:hAnsi="Segoe UI"/>
                <w:b/>
                <w:color w:val="1B365D"/>
                <w:sz w:val="18"/>
              </w:rPr>
              <w:t>16</w:t>
            </w:r>
          </w:p>
        </w:tc>
        <w:tc>
          <w:tcPr>
            <w:tcW w:type="dxa" w:w="1296"/>
            <w:shd w:fill="F1F5F9"/>
            <w:tcMar>
              <w:top w:w="60" w:type="dxa"/>
              <w:bottom w:w="60" w:type="dxa"/>
              <w:left w:w="80" w:type="dxa"/>
              <w:right w:w="80" w:type="dxa"/>
            </w:tcMar>
          </w:tcPr>
          <w:p>
            <w:pPr>
              <w:spacing w:after="0"/>
              <w:jc w:val="center"/>
            </w:pPr>
            <w:r>
              <w:rPr>
                <w:rFonts w:ascii="Segoe UI" w:hAnsi="Segoe UI"/>
                <w:b/>
                <w:color w:val="1B365D"/>
                <w:sz w:val="18"/>
              </w:rPr>
              <w:t>5</w:t>
            </w:r>
          </w:p>
        </w:tc>
        <w:tc>
          <w:tcPr>
            <w:tcW w:type="dxa" w:w="1440"/>
            <w:shd w:fill="F1F5F9"/>
            <w:tcMar>
              <w:top w:w="60" w:type="dxa"/>
              <w:bottom w:w="60" w:type="dxa"/>
              <w:left w:w="80" w:type="dxa"/>
              <w:right w:w="80" w:type="dxa"/>
            </w:tcMar>
          </w:tcPr>
          <w:p>
            <w:pPr>
              <w:spacing w:after="0"/>
              <w:jc w:val="center"/>
            </w:pPr>
            <w:r>
              <w:rPr>
                <w:rFonts w:ascii="Segoe UI" w:hAnsi="Segoe UI"/>
                <w:b/>
                <w:color w:val="1B365D"/>
                <w:sz w:val="18"/>
              </w:rPr>
              <w:t>52.3%</w:t>
            </w:r>
          </w:p>
        </w:tc>
      </w:tr>
    </w:tbl>
    <w:p>
      <w:pPr>
        <w:spacing w:after="280"/>
      </w:pPr>
    </w:p>
    <w:p>
      <w:pPr>
        <w:keepNext/>
        <w:spacing w:before="320" w:after="80"/>
      </w:pPr>
      <w:r>
        <w:rPr>
          <w:rFonts w:ascii="Segoe UI" w:hAnsi="Segoe UI"/>
          <w:b/>
          <w:color w:val="1B365D"/>
          <w:sz w:val="28"/>
        </w:rPr>
        <w:t>2. Detalle Exhaustivo de Requerimientos por Módulo (44 Puntos)</w:t>
      </w:r>
    </w:p>
    <w:p>
      <w:pPr>
        <w:keepNext/>
        <w:spacing w:before="320" w:after="80"/>
      </w:pPr>
      <w:r>
        <w:rPr>
          <w:rFonts w:ascii="Segoe UI" w:hAnsi="Segoe UI"/>
          <w:b/>
          <w:color w:val="1B365D"/>
          <w:sz w:val="26"/>
        </w:rPr>
        <w:t>Módulo 1: Contabilidad, Plan de Cuentas y Reportes Financieros</w:t>
      </w:r>
      <w:r>
        <w:rPr>
          <w:rFonts w:ascii="Segoe UI" w:hAnsi="Segoe UI"/>
          <w:i/>
          <w:color w:val="475569"/>
          <w:sz w:val="19"/>
        </w:rPr>
        <w:t xml:space="preserve">  ·  [12 Puntos · 6 Completos · 6 Parciales · 0 Faltantes]</w:t>
      </w:r>
    </w:p>
    <w:p>
      <w:pPr>
        <w:keepNext/>
        <w:spacing w:before="200" w:after="40"/>
      </w:pPr>
      <w:r>
        <w:rPr>
          <w:rFonts w:ascii="Segoe UI" w:hAnsi="Segoe UI"/>
          <w:b/>
          <w:color w:val="1E293B"/>
          <w:sz w:val="21"/>
        </w:rPr>
        <w:t xml:space="preserve">1.1 Selector Multi-Empresa al Crear Usuarios (A-1)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26/10 apuntes de sala 'revision en cliente.txt'.</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Los usuarios asignados a dos razones sociales deben poder seleccionar y operar ambas empresas con aislamiento estricto de datos en compras, ventas y contabilidad.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y verificado en EmpresaSelector.tsx y en el contexto de sesión JWT (empresaId / empresasHabilitadas).</w:t>
            </w:r>
          </w:p>
        </w:tc>
      </w:tr>
    </w:tbl>
    <w:p>
      <w:pPr>
        <w:keepNext/>
        <w:spacing w:before="200" w:after="40"/>
      </w:pPr>
      <w:r>
        <w:rPr>
          <w:rFonts w:ascii="Segoe UI" w:hAnsi="Segoe UI"/>
          <w:b/>
          <w:color w:val="1E293B"/>
          <w:sz w:val="21"/>
        </w:rPr>
        <w:t xml:space="preserve">1.2 Asociación N:N de Dimensiones por Cuenta (Plan de Cuentas) (P-1)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[22:15 - 25:59], aprobado por MJ; validado Martes AM [01:03].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Por cada cuenta contable imputable, se asocian de forma independiente múltiples Centros de Costo, Elementos de Gasto y Áreas de Negocio. Al usar la cuenta en OC, asientos o importaciones, solo se ofrecen las dimensiones vinculadas. Pantalla con 3 columnas con scroll independiente, buscadores y checkboxes anclados arriba con contador.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CuentaAsociadosPanel.tsx y PlanCuentasPage.tsx. Validado con 3 columnas, búsqueda en tiempo real, anclaje superior de checks y contador dinámico de asignados.</w:t>
            </w:r>
          </w:p>
        </w:tc>
      </w:tr>
    </w:tbl>
    <w:p>
      <w:pPr>
        <w:keepNext/>
        <w:spacing w:before="200" w:after="40"/>
      </w:pPr>
      <w:r>
        <w:rPr>
          <w:rFonts w:ascii="Segoe UI" w:hAnsi="Segoe UI"/>
          <w:b/>
          <w:color w:val="1E293B"/>
          <w:sz w:val="21"/>
        </w:rPr>
        <w:t xml:space="preserve">1.3 Matriz de Plan de Cuentas con Scroll Bidireccional (P-8)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P-8.</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Lista maestra de cuentas con scroll vertical fijo en códigos y nombres; a la derecha, rejilla de permisos y dimensiones con scroll horizontal y vertical sin perder de vista la fila.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la vista Matriz de PlanCuentasPage.tsx.</w:t>
            </w:r>
          </w:p>
        </w:tc>
      </w:tr>
    </w:tbl>
    <w:p>
      <w:pPr>
        <w:keepNext/>
        <w:spacing w:before="200" w:after="40"/>
      </w:pPr>
      <w:r>
        <w:rPr>
          <w:rFonts w:ascii="Segoe UI" w:hAnsi="Segoe UI"/>
          <w:b/>
          <w:color w:val="1E293B"/>
          <w:sz w:val="21"/>
        </w:rPr>
        <w:t xml:space="preserve">1.4 Balance de 8 Columnas Acumulativo Anual (K-15)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[00:19], Martes PM [04:20 - 09:20].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Reporte oficial con Sumas (Débitos/Créditos), Saldos (Deudor/Acreedor), Inventario (Activo/Pasivo) y Resultados (Pérdida/Ganancia). El cálculo del Resultado del Ejercicio cuadra exactamente entre Ganancia - Pérdida e Inventario Activo - Pasivo. Acumulativo desde el 1 de enero hasta la fecha de corte.</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Balance8ColumnasPage.tsx con las 8 columnas requeridas, cálculo dinámico de saldos y cuadre del resultado del ejercicio.</w:t>
            </w:r>
          </w:p>
        </w:tc>
      </w:tr>
    </w:tbl>
    <w:p>
      <w:pPr>
        <w:keepNext/>
        <w:spacing w:before="200" w:after="40"/>
      </w:pPr>
      <w:r>
        <w:rPr>
          <w:rFonts w:ascii="Segoe UI" w:hAnsi="Segoe UI"/>
          <w:b/>
          <w:color w:val="1E293B"/>
          <w:sz w:val="21"/>
        </w:rPr>
        <w:t xml:space="preserve">1.5 Estado de Resultados Mensual vs Situación Financiera al 31/12 (K-16, K-18, K-19)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[00:19 - 02:03].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El Estado de Resultados mensual muestra exclusivamente los movimientos del mes consultado. Al 31 de diciembre, la utilidad del ejercicio se traspasa al Estado de Situación Financiera como Resultado Acumulado, donde deben coexistir ambos conceptos para cuadre formal (validado contra balances de MJ ene-2026 / dic-2025).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EstadosFinancierosPage.tsx y CierreAnualModal.tsx. Incluye alternancia entre movimientos del mes y acumulado anual con cálculo dinámico de pérdidas y ganancias del periodo, coexistencia formal de Resultado Acumulado (2-4-04-02-001) y Resultado del Ejercicio (2-4-04-02-004) en Situación Financiera para cuadre patrimonial formal, y comando de Asiento de Cierre Anual automático al 31/12 con previsualización en 3 columnas (Ingresos, Gastos, Patrimonio), comprobante cuadrado y persistencia en periodo diciembre.</w:t>
            </w:r>
          </w:p>
        </w:tc>
      </w:tr>
    </w:tbl>
    <w:p>
      <w:pPr>
        <w:keepNext/>
        <w:spacing w:before="200" w:after="40"/>
      </w:pPr>
      <w:r>
        <w:rPr>
          <w:rFonts w:ascii="Segoe UI" w:hAnsi="Segoe UI"/>
          <w:b/>
          <w:color w:val="1E293B"/>
          <w:sz w:val="21"/>
        </w:rPr>
        <w:t xml:space="preserve">1.6 Carga Masiva Restrictiva Tipo Agrosoft (K-20)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[06:55 - 17:09].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Importador Excel fail-closed. Campos: correlativo (líneas de comprobante), tipo de comprobante, fecha, periodo contable, tipo de cambio, cuenta contable, dimensiones (CC, elemento, área). Si una cuenta exige CC y no viene en la fila, rechazar el lote completo. Validación previa de fecha vs periodo y Debe = Haber en CLP y USD.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Existe importador contable base; falta implementar el validador estricto fail-closed específico para el formato Agrosoft y reporte detallado de filas erróneas.</w:t>
            </w:r>
          </w:p>
        </w:tc>
      </w:tr>
    </w:tbl>
    <w:p>
      <w:pPr>
        <w:keepNext/>
        <w:spacing w:before="200" w:after="40"/>
      </w:pPr>
      <w:r>
        <w:rPr>
          <w:rFonts w:ascii="Segoe UI" w:hAnsi="Segoe UI"/>
          <w:b/>
          <w:color w:val="1E293B"/>
          <w:sz w:val="21"/>
        </w:rPr>
        <w:t xml:space="preserve">1.7 Tipos de Comprobante Contable y Nomenclatura (K-3, K-6)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 Apuntes K-3, K-6, K-8.</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Clasificación: APERTURA, EGRESOS, INGRESOS, PROVEEDORES, TRASPASOS, VENTAS. Al crear manual solicita tipo; si viene de módulo operativo es automático. Pasa directo a CONTABILIZADO al guardar.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tipo-comprobante.ts y en la persistencia de asientos con prefijos por origen.</w:t>
            </w:r>
          </w:p>
        </w:tc>
      </w:tr>
    </w:tbl>
    <w:p>
      <w:pPr>
        <w:keepNext/>
        <w:spacing w:before="200" w:after="40"/>
      </w:pPr>
      <w:r>
        <w:rPr>
          <w:rFonts w:ascii="Segoe UI" w:hAnsi="Segoe UI"/>
          <w:b/>
          <w:color w:val="1E293B"/>
          <w:sz w:val="21"/>
        </w:rPr>
        <w:t xml:space="preserve">1.8 Detalle de Asiento en 3 Columnas, Glosas y Adjuntos (K-4, K-5)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K-4, K-5.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Grilla balanceada en tres columnas, regularización de botones de edición de glosa en cabecera y líneas, y soporte de adjuntos de Registro de Compras (RC).</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AsientosPage.tsx con grilla balanceada en 3 columnas, edición de glosa en cabecera y por línea (patch /asientos/:id/lineas/:index/glosa), y panel lateral de gestión de adjuntos con subida y visualización de respaldos de Registro de Compras (RC).</w:t>
            </w:r>
          </w:p>
        </w:tc>
      </w:tr>
    </w:tbl>
    <w:p>
      <w:pPr>
        <w:keepNext/>
        <w:spacing w:before="200" w:after="40"/>
      </w:pPr>
      <w:r>
        <w:rPr>
          <w:rFonts w:ascii="Segoe UI" w:hAnsi="Segoe UI"/>
          <w:b/>
          <w:color w:val="1E293B"/>
          <w:sz w:val="21"/>
        </w:rPr>
        <w:t xml:space="preserve">1.9 Protocolo de Reversas y Comprobantes de Ajuste (Mes Abierto vs Cerrado) (A-3)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[01:07], Martes AM [48:10 - 01:06:40].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Mes Abierto: Se desvincula la factura en compras, el documento pasa a REVERSADA, Admin Concepto habilita edición con PIN, re-aprueba y re-asocia. Mes Cerrado: Prohibido desarmar la centralización. Se genera un Comprobante de Ajuste / Traspaso puntual con doble visto bueno (Jefatura de Área + Contabilidad).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AsientoReversoModal.tsx, ComprobanteAjusteModal.tsx y asiento-reverso.ts. En mes abierto desvincula la factura y pasa a REVERSADA con autorización PIN de AdminConcepto; en mes cerrado bloquea la desvinculación y exige Comprobante de Ajuste/Traspaso puntual con doble visto bueno (Jefatura de Área + Contabilidad).</w:t>
            </w:r>
          </w:p>
        </w:tc>
      </w:tr>
    </w:tbl>
    <w:p>
      <w:pPr>
        <w:keepNext/>
        <w:spacing w:before="200" w:after="40"/>
      </w:pPr>
      <w:r>
        <w:rPr>
          <w:rFonts w:ascii="Segoe UI" w:hAnsi="Segoe UI"/>
          <w:b/>
          <w:color w:val="1E293B"/>
          <w:sz w:val="21"/>
        </w:rPr>
        <w:t xml:space="preserve">1.10 Auditoría e Historial Distribuida por Módulo (A-2)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[48:40], Martes PM [00:00 - 02:40].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Pestañas locales de auditoría en Contabilidad, Contratistas, Insumos y Activos Fijos con comparativa antes/después legible para Jefatura y Contabilidad (sin metadatos técnicos visibles al usuario).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AuditoriaContabilidadPage.tsx, AuditoriaContratistasPage.tsx y ActivoFijoHistorialPanel.tsx con comparativa antes/después estructurada y legible para Jefatura y Contabilidad, sin volcado técnico de metadatos.</w:t>
            </w:r>
          </w:p>
        </w:tc>
      </w:tr>
    </w:tbl>
    <w:p>
      <w:pPr>
        <w:keepNext/>
        <w:spacing w:before="200" w:after="40"/>
      </w:pPr>
      <w:r>
        <w:rPr>
          <w:rFonts w:ascii="Segoe UI" w:hAnsi="Segoe UI"/>
          <w:b/>
          <w:color w:val="1E293B"/>
          <w:sz w:val="21"/>
        </w:rPr>
        <w:t xml:space="preserve">1.11 Libro Mayor y Diario: Filtros de Periodo y Arrastre Interanual (K-12, K-13, K-14)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K-12, K-13, K-14.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Filtros mes y año; opción 'Todos' restringe al año en curso; selector de cuentas del Mayor expandido; arrastre de saldo de apertura entre años.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LibroDiarioMayorPages.tsx con filtros consolidados y saldos interanuales.</w:t>
            </w:r>
          </w:p>
        </w:tc>
      </w:tr>
    </w:tbl>
    <w:p>
      <w:pPr>
        <w:keepNext/>
        <w:spacing w:before="200" w:after="40"/>
      </w:pPr>
      <w:r>
        <w:rPr>
          <w:rFonts w:ascii="Segoe UI" w:hAnsi="Segoe UI"/>
          <w:b/>
          <w:color w:val="1E293B"/>
          <w:sz w:val="21"/>
        </w:rPr>
        <w:t xml:space="preserve">1.12 Presupuesto: Alertas Porcentuales y Agrupación por Departamento (K-10, K-11)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[24:37], apuntes K-10, K-11.</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Centros de costo agrupados por departamento con totalizadores superiores y alertas automáticas al superar el porcentaje presupuestado.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PresupuestosPage.tsx y PresupuestoAlertaPanel.tsx. Incluye agrupación de centros de costo por departamento, tarjetas totalizadoras con montos y conteo, y alerta dinámica porcentual (&gt;80% preventivo, &gt;100% crítico) al imputar comprobantes contables.</w:t>
            </w:r>
          </w:p>
        </w:tc>
      </w:tr>
    </w:tbl>
    <w:p>
      <w:pPr>
        <w:keepNext/>
        <w:spacing w:before="320" w:after="80"/>
      </w:pPr>
      <w:r>
        <w:rPr>
          <w:rFonts w:ascii="Segoe UI" w:hAnsi="Segoe UI"/>
          <w:b/>
          <w:color w:val="1B365D"/>
          <w:sz w:val="26"/>
        </w:rPr>
        <w:t>Módulo 2: Compras, Proveedores y Notas de Cobro</w:t>
      </w:r>
      <w:r>
        <w:rPr>
          <w:rFonts w:ascii="Segoe UI" w:hAnsi="Segoe UI"/>
          <w:i/>
          <w:color w:val="475569"/>
          <w:sz w:val="19"/>
        </w:rPr>
        <w:t xml:space="preserve">  ·  [13 Puntos · 13 Completos · 100% Operativo]</w:t>
      </w:r>
    </w:p>
    <w:p>
      <w:pPr>
        <w:keepNext/>
        <w:spacing w:before="200" w:after="40"/>
      </w:pPr>
      <w:r>
        <w:rPr>
          <w:rFonts w:ascii="Segoe UI" w:hAnsi="Segoe UI"/>
          <w:b/>
          <w:color w:val="1E293B"/>
          <w:sz w:val="21"/>
        </w:rPr>
        <w:t xml:space="preserve">2.1 Jerarquía en Cascada en Orden de Compra (C-1)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[44:04].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Imputación en línea estricta: Cuenta Contable -&gt; Centro de Costo -&gt; Elemento de Gasto. Sin cuenta, CC y elemento quedan bloqueados.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OrdenCompraWizardPage.tsx.</w:t>
            </w:r>
          </w:p>
        </w:tc>
      </w:tr>
    </w:tbl>
    <w:p>
      <w:pPr>
        <w:keepNext/>
        <w:spacing w:before="200" w:after="40"/>
      </w:pPr>
      <w:r>
        <w:rPr>
          <w:rFonts w:ascii="Segoe UI" w:hAnsi="Segoe UI"/>
          <w:b/>
          <w:color w:val="1E293B"/>
          <w:sz w:val="21"/>
        </w:rPr>
        <w:t xml:space="preserve">2.2 Solicitud al Administrador de Dimensiones Faltantes (C-2)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[44:13].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Si el CC o elemento necesario no está ligado a la cuenta, el operador solicita la asociación al Administrador con motivo registrado (sin alta libre en OC).</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OrdenCompraWizardPage.tsx.</w:t>
            </w:r>
          </w:p>
        </w:tc>
      </w:tr>
    </w:tbl>
    <w:p>
      <w:pPr>
        <w:keepNext/>
        <w:spacing w:before="200" w:after="40"/>
      </w:pPr>
      <w:r>
        <w:rPr>
          <w:rFonts w:ascii="Segoe UI" w:hAnsi="Segoe UI"/>
          <w:b/>
          <w:color w:val="1E293B"/>
          <w:sz w:val="21"/>
        </w:rPr>
        <w:t xml:space="preserve">2.3 Múltiples Líneas de Imputación Contable en OC (C-3)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[47:25].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Distribución de gasto entre distintas áreas/CC mediante múltiples líneas en la OC (caso software 50% TI / 50% Contabilidad).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Soportado nativamente en el wizard de OC.</w:t>
            </w:r>
          </w:p>
        </w:tc>
      </w:tr>
    </w:tbl>
    <w:p>
      <w:pPr>
        <w:keepNext/>
        <w:spacing w:before="200" w:after="40"/>
      </w:pPr>
      <w:r>
        <w:rPr>
          <w:rFonts w:ascii="Segoe UI" w:hAnsi="Segoe UI"/>
          <w:b/>
          <w:color w:val="1E293B"/>
          <w:sz w:val="21"/>
        </w:rPr>
        <w:t xml:space="preserve">2.4 Vista de Detalle de OC con Desglose Jerárquico Contable en Árbol (C-4)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[55:17].</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Visualización del desglose contable de la OC en pantalla imitando la estructura de árbol / flujo de caja.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OcDesgloseContableTree.tsx e integrado en el modal de detalle de ComprasPages.tsx. Presenta los 4 niveles jerárquicos: Cuenta Contable -&gt; Centro de Costo -&gt; Elemento de Costo -&gt; Ítems con totales y nodos colapsables interactivos.</w:t>
            </w:r>
          </w:p>
        </w:tc>
      </w:tr>
    </w:tbl>
    <w:p>
      <w:pPr>
        <w:keepNext/>
        <w:spacing w:before="200" w:after="40"/>
      </w:pPr>
      <w:r>
        <w:rPr>
          <w:rFonts w:ascii="Segoe UI" w:hAnsi="Segoe UI"/>
          <w:b/>
          <w:color w:val="1E293B"/>
          <w:sz w:val="21"/>
        </w:rPr>
        <w:t xml:space="preserve">2.5 Plantilla PDF Oficial al Proveedor sin Dimensiones Contables (C-5 / 1.5)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[50:24].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El PDF exportable oficial para el proveedor externo omite los centros de costo y elementos contables internos de Almahue.</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compras-oc-helpers.ts.</w:t>
            </w:r>
          </w:p>
        </w:tc>
      </w:tr>
    </w:tbl>
    <w:p>
      <w:pPr>
        <w:keepNext/>
        <w:spacing w:before="200" w:after="40"/>
      </w:pPr>
      <w:r>
        <w:rPr>
          <w:rFonts w:ascii="Segoe UI" w:hAnsi="Segoe UI"/>
          <w:b/>
          <w:color w:val="1E293B"/>
          <w:sz w:val="21"/>
        </w:rPr>
        <w:t xml:space="preserve">2.6 Notas de Cobro — Gasto Directo (Asoex / Exentos) (P-6)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[15:17], Miércoles [49:12].</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Gastos directos exentos sin facturas de terceros intermediadas (ej. cuotas Asoex). Wizard replicado de Órdenes de Compra con líneas, cuenta contable, Centro de Costo, elemento y tarjetas totalizadoras con montos y conteo. Nombres neutros sin menciones rígidas de empresas.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NotasCobroPage.tsx con wizard multicapa, imputación por línea y tarjetas totalizadoras.</w:t>
            </w:r>
          </w:p>
        </w:tc>
      </w:tr>
    </w:tbl>
    <w:p>
      <w:pPr>
        <w:keepNext/>
        <w:spacing w:before="200" w:after="40"/>
      </w:pPr>
      <w:r>
        <w:rPr>
          <w:rFonts w:ascii="Segoe UI" w:hAnsi="Segoe UI"/>
          <w:b/>
          <w:color w:val="1E293B"/>
          <w:sz w:val="21"/>
        </w:rPr>
        <w:t xml:space="preserve">2.7 Notas de Cobro — Embarcadores (OPB / Compensación de Terceros) (P-7)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[15:17], Miércoles [50:24 - 58:10].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El embarcador paga facturas de terceros por cuenta de Almahue (hasta 400 facturas) y cobra consolidado. El sistema debe compensar la deuda: saldar las facturas originales con los proveedores y reconocer la deuda al embarcador.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NotasCobroPages.tsx y notas-cobro.service.ts. Soporta importación masiva mediante planilla Excel con prevalidación estricta de hasta 400 facturas, calce de saldos con terceros y generación de compensación contable automática.</w:t>
            </w:r>
          </w:p>
        </w:tc>
      </w:tr>
    </w:tbl>
    <w:p>
      <w:pPr>
        <w:keepNext/>
        <w:spacing w:before="200" w:after="40"/>
      </w:pPr>
      <w:r>
        <w:rPr>
          <w:rFonts w:ascii="Segoe UI" w:hAnsi="Segoe UI"/>
          <w:b/>
          <w:color w:val="1E293B"/>
          <w:sz w:val="21"/>
        </w:rPr>
        <w:t xml:space="preserve">2.8 Flujo de Guardado y Anulación Autorizada en Notas de Cobro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[54:46 - 01:04:00].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Guardar como BORRADOR permite pausas y revisión. Al confirmar pasa a CONTABILIZADA. Si se requiere anular una contabilizada: requiere autorización especial con motivo (clave/PIN de admin) y libera automáticamente las facturas asociadas.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con estados BORRADOR, EN_REVISION, APROBADA y ANULADA. La anulación de documentos contabilizados requiere autorización especial con motivo y PIN de seguridad de Administrador, liberando automáticamente las facturas compensadas asociadas.</w:t>
            </w:r>
          </w:p>
        </w:tc>
      </w:tr>
    </w:tbl>
    <w:p>
      <w:pPr>
        <w:keepNext/>
        <w:spacing w:before="200" w:after="40"/>
      </w:pPr>
      <w:r>
        <w:rPr>
          <w:rFonts w:ascii="Segoe UI" w:hAnsi="Segoe UI"/>
          <w:b/>
          <w:color w:val="1E293B"/>
          <w:sz w:val="21"/>
        </w:rPr>
        <w:t xml:space="preserve">2.9 Fecha de Vencimiento Automática en Notas de Cobro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[01:05:09].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Fecha de vencimiento default a 1 mes desde la fecha de emisión del documento (editable). Base para la programación semanal de pagos en Tesorería.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cálculo automático de fecha de vencimiento a partir de las condiciones comerciales pactadas con el proveedor (+30 días por omisión) configurable y editable para el calce de nómina en Tesorería.</w:t>
            </w:r>
          </w:p>
        </w:tc>
      </w:tr>
    </w:tbl>
    <w:p>
      <w:pPr>
        <w:keepNext/>
        <w:spacing w:before="200" w:after="40"/>
      </w:pPr>
      <w:r>
        <w:rPr>
          <w:rFonts w:ascii="Segoe UI" w:hAnsi="Segoe UI"/>
          <w:b/>
          <w:color w:val="1E293B"/>
          <w:sz w:val="21"/>
        </w:rPr>
        <w:t xml:space="preserve">2.10 Boletas de Honorarios: Tipos 1001/1002/1003 y Validación Notarial (P-5)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P-5, Martes PM [54:10].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Códigos de honorarios con retención normal (1001), exenta (1002) y préstamo (1003). Boletas de notaría solo se ingresan si cuentan con rendición formal y comprobante de pago efectivo.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HonorariosPage.tsx y LibroComprasPages.tsx con cálculo dinámico de retención de impuestos (14.5% para Tipo 1001, 0% Tipo 1002, tasa variable Tipo 1003) y validación estricta de respaldo y comprobante de pago efectivo para boletas notariales.</w:t>
            </w:r>
          </w:p>
        </w:tc>
      </w:tr>
    </w:tbl>
    <w:p>
      <w:pPr>
        <w:keepNext/>
        <w:spacing w:before="200" w:after="40"/>
      </w:pPr>
      <w:r>
        <w:rPr>
          <w:rFonts w:ascii="Segoe UI" w:hAnsi="Segoe UI"/>
          <w:b/>
          <w:color w:val="1E293B"/>
          <w:sz w:val="21"/>
        </w:rPr>
        <w:t xml:space="preserve">2.11 Modal Universal de Factura PDF con Botón 'Ir a Libro de Compras'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[01:07:04 - 01:10:07].</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 hacer clic en una factura en cualquier módulo (Notas de Cobro, Nóminas de Tesorería, Estado de Cuenta), debe abrirse un modal con el PDF de la factura directamente (sin salir de la pantalla). Al pie del modal: botón secundario 'Ir al Libro de Compras' filtrando por esa factura para ver OC, recepción y trazabilidad.</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ModalUniversalFacturaPdf.tsx y RegistroCompraPdfModal.tsx. Permite previsualizar el PDF oficial de la factura desde Notas de Cobro, Nóminas de Tesorería y Estados de Cuenta, incorporando botón secundario de salto directo al Libro de Compras filtrado.</w:t>
            </w:r>
          </w:p>
        </w:tc>
      </w:tr>
    </w:tbl>
    <w:p>
      <w:pPr>
        <w:keepNext/>
        <w:spacing w:before="200" w:after="40"/>
      </w:pPr>
      <w:r>
        <w:rPr>
          <w:rFonts w:ascii="Segoe UI" w:hAnsi="Segoe UI"/>
          <w:b/>
          <w:color w:val="1E293B"/>
          <w:sz w:val="21"/>
        </w:rPr>
        <w:t xml:space="preserve">2.12 Facturas Bimoneda y Desglose de Asiento en Libro de Compras (E-3)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Requerimientos adicionales solicitados por correo.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Visualización en Libro de Compras de facturas registradas en moneda extranjera (USD/EUR) con columna de tipo de cambio oficial y desglose balanceado en moneda nacional y origen.</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LibroComprasPages.tsx con toggle bimoneda, indicador de tipo de cambio y conversión transparente de Debe/Haber.</w:t>
            </w:r>
          </w:p>
        </w:tc>
      </w:tr>
    </w:tbl>
    <w:p>
      <w:pPr>
        <w:keepNext/>
        <w:spacing w:before="200" w:after="40"/>
      </w:pPr>
      <w:r>
        <w:rPr>
          <w:rFonts w:ascii="Segoe UI" w:hAnsi="Segoe UI"/>
          <w:b/>
          <w:color w:val="1E293B"/>
          <w:sz w:val="21"/>
        </w:rPr>
        <w:t xml:space="preserve">2.13 Barra de Porcentaje de Cobertura en Libro de Compras (E-6)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Requerimientos adicionales solicitados por correo.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Barra visual de avance porcentual de calce y cobertura de facturas con órdenes de compra y notas de cobro vinculadas para control expedito de Jefatura.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LibroComprasPages.tsx en cabecera y por proveedor con progresión dinámica y semáforo cromático.</w:t>
            </w:r>
          </w:p>
        </w:tc>
      </w:tr>
    </w:tbl>
    <w:p>
      <w:pPr>
        <w:keepNext/>
        <w:spacing w:before="320" w:after="80"/>
      </w:pPr>
      <w:r>
        <w:rPr>
          <w:rFonts w:ascii="Segoe UI" w:hAnsi="Segoe UI"/>
          <w:b/>
          <w:color w:val="1B365D"/>
          <w:sz w:val="26"/>
        </w:rPr>
        <w:t>Módulo 3: Contratistas Agrícolas</w:t>
      </w:r>
      <w:r>
        <w:rPr>
          <w:rFonts w:ascii="Segoe UI" w:hAnsi="Segoe UI"/>
          <w:i/>
          <w:color w:val="475569"/>
          <w:sz w:val="19"/>
        </w:rPr>
        <w:t xml:space="preserve">  ·  [7 Puntos · 4 Completos · 3 Parciales · 0 Faltantes]</w:t>
      </w:r>
    </w:p>
    <w:p>
      <w:pPr>
        <w:keepNext/>
        <w:spacing w:before="200" w:after="40"/>
      </w:pPr>
      <w:r>
        <w:rPr>
          <w:rFonts w:ascii="Segoe UI" w:hAnsi="Segoe UI"/>
          <w:b/>
          <w:color w:val="1E293B"/>
          <w:sz w:val="21"/>
        </w:rPr>
        <w:t xml:space="preserve">3.1 Segregación Estricta de Roles: Abastecimiento vs Contabilidad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[44:20 - 48:09].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José Tomás (Abastecimiento) emite y aprueba la Proforma técnica (labores, cuarteles, horas, trato). Contabilidad (Fran/Lupe/Mario) recibe la factura del contratista y realiza el calce contra la proforma aprobada.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Segregación implementada en permisos contratistas:write y en el calce en AsociarOcRegistroCompraModal.tsx.</w:t>
            </w:r>
          </w:p>
        </w:tc>
      </w:tr>
    </w:tbl>
    <w:p>
      <w:pPr>
        <w:keepNext/>
        <w:spacing w:before="200" w:after="40"/>
      </w:pPr>
      <w:r>
        <w:rPr>
          <w:rFonts w:ascii="Segoe UI" w:hAnsi="Segoe UI"/>
          <w:b/>
          <w:color w:val="1E293B"/>
          <w:sz w:val="21"/>
        </w:rPr>
        <w:t xml:space="preserve">3.2 Inversión de Jerarquía: Actividad -&gt; Labores (CTR-2)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[05:29].</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La actividad manda sobre las labores. La parametrización se origina en la Actividad y se le asignan múltiples labores dependientes.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AsociacionLaboresPage.tsx.</w:t>
            </w:r>
          </w:p>
        </w:tc>
      </w:tr>
    </w:tbl>
    <w:p>
      <w:pPr>
        <w:keepNext/>
        <w:spacing w:before="200" w:after="40"/>
      </w:pPr>
      <w:r>
        <w:rPr>
          <w:rFonts w:ascii="Segoe UI" w:hAnsi="Segoe UI"/>
          <w:b/>
          <w:color w:val="1E293B"/>
          <w:sz w:val="21"/>
        </w:rPr>
        <w:t xml:space="preserve">3.3 Ingreso Diario Ágil y Aprobación en Proforma (CTR-3)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[23:28].</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Registro diario rápido sin cadena de firmas individual. La cadena de aprobación opera exclusivamente sobre la Proforma consolidada quincenal o mensual.</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IngresoLaborDiarioMasivoPage.tsx y ProformasContratistaNivel1Page.tsx.</w:t>
            </w:r>
          </w:p>
        </w:tc>
      </w:tr>
    </w:tbl>
    <w:p>
      <w:pPr>
        <w:keepNext/>
        <w:spacing w:before="200" w:after="40"/>
      </w:pPr>
      <w:r>
        <w:rPr>
          <w:rFonts w:ascii="Segoe UI" w:hAnsi="Segoe UI"/>
          <w:b/>
          <w:color w:val="1E293B"/>
          <w:sz w:val="21"/>
        </w:rPr>
        <w:t xml:space="preserve">3.4 Pantalla de Cierre con Bloques Verde y Gris (CTR-4)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[24:54].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Borde verde para proformas aprobadas listas para ingresar al asiento de cierre; bloques grises informativos para borradores e ingresos huérfanos.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TraspasoContratistasResumenPanel.tsx.</w:t>
            </w:r>
          </w:p>
        </w:tc>
      </w:tr>
    </w:tbl>
    <w:p>
      <w:pPr>
        <w:keepNext/>
        <w:spacing w:before="200" w:after="40"/>
      </w:pPr>
      <w:r>
        <w:rPr>
          <w:rFonts w:ascii="Segoe UI" w:hAnsi="Segoe UI"/>
          <w:b/>
          <w:color w:val="1E293B"/>
          <w:sz w:val="21"/>
        </w:rPr>
        <w:t xml:space="preserve">3.5 Asiento de Cierre: Gasto Agrupado por CC y Auxiliar en Provisión (CTR-5)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[01:11:15].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 centralizar el mes: Debe: Gasto Mano de Obra, agrupado por Centro de Costo (ej. 2 líneas para 2 CC, no 20). Haber: Facturas por Recibir Contratistas, con desglose obligatorio del Auxiliar (RUT y Nombre) de cada contratista para análisis de la cuenta corriente de provisiones.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En TraspasoContratistasResumenPanel.tsx se visualiza el resumen; falta garantizar el GROUP BY por CC en débitos y el auxiliar RUT en créditos en la persistencia del backend.</w:t>
            </w:r>
          </w:p>
        </w:tc>
      </w:tr>
    </w:tbl>
    <w:p>
      <w:pPr>
        <w:keepNext/>
        <w:spacing w:before="200" w:after="40"/>
      </w:pPr>
      <w:r>
        <w:rPr>
          <w:rFonts w:ascii="Segoe UI" w:hAnsi="Segoe UI"/>
          <w:b/>
          <w:color w:val="1E293B"/>
          <w:sz w:val="21"/>
        </w:rPr>
        <w:t xml:space="preserve">3.6 Protocolo de Reversa de Proforma en Periodo Abierto (CTR-6)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[48:10].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Contabilidad desvincula factura en Compras -&gt; proforma pasa a estado REVERSADA -&gt; edición habilitada con PIN por Admin Concepto -&gt; re-aprobación obligatoria -&gt; re-calce con factura.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Desvinculación operativa; estado REVERSADA y modal de edición con PIN en ajuste final.</w:t>
            </w:r>
          </w:p>
        </w:tc>
      </w:tr>
    </w:tbl>
    <w:p>
      <w:pPr>
        <w:keepNext/>
        <w:spacing w:before="200" w:after="40"/>
      </w:pPr>
      <w:r>
        <w:rPr>
          <w:rFonts w:ascii="Segoe UI" w:hAnsi="Segoe UI"/>
          <w:b/>
          <w:color w:val="1E293B"/>
          <w:sz w:val="21"/>
        </w:rPr>
        <w:t xml:space="preserve">3.7 Notificaciones desde Listados de Proformas (CTR-7)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PM [51:54].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Alertas por correo/sistema para proformas en borrador con límite anti-spam.</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ProformaNotificarModal.tsx.</w:t>
            </w:r>
          </w:p>
        </w:tc>
      </w:tr>
    </w:tbl>
    <w:p>
      <w:pPr>
        <w:keepNext/>
        <w:spacing w:before="320" w:after="80"/>
      </w:pPr>
      <w:r>
        <w:rPr>
          <w:rFonts w:ascii="Segoe UI" w:hAnsi="Segoe UI"/>
          <w:b/>
          <w:color w:val="1B365D"/>
          <w:sz w:val="26"/>
        </w:rPr>
        <w:t>Módulo 4: Insumos y Bodega</w:t>
      </w:r>
      <w:r>
        <w:rPr>
          <w:rFonts w:ascii="Segoe UI" w:hAnsi="Segoe UI"/>
          <w:i/>
          <w:color w:val="475569"/>
          <w:sz w:val="19"/>
        </w:rPr>
        <w:t xml:space="preserve">  ·  [5 Puntos · 3 Completos · 2 Parciales · 0 Faltantes]</w:t>
      </w:r>
    </w:p>
    <w:p>
      <w:pPr>
        <w:keepNext/>
        <w:spacing w:before="200" w:after="40"/>
      </w:pPr>
      <w:r>
        <w:rPr>
          <w:rFonts w:ascii="Segoe UI" w:hAnsi="Segoe UI"/>
          <w:b/>
          <w:color w:val="1E293B"/>
          <w:sz w:val="21"/>
        </w:rPr>
        <w:t xml:space="preserve">4.1 Guías de Aplicación de Campo (Movimiento Real de Stock)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[01:42:35].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Documento que rebaja el stock de bodega. Campos: Campo (ej. Santa Pilar), Lote/Cuartel y productos. El sistema muestra de inmediato el stock físico disponible en bodega.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Existe OrdenesInsumosPage.tsx; falta la pantalla dedicada de 'Guía de Aplicación de Campo' con selección de Campo/Cuartel y rebaja física.</w:t>
            </w:r>
          </w:p>
        </w:tc>
      </w:tr>
    </w:tbl>
    <w:p>
      <w:pPr>
        <w:keepNext/>
        <w:spacing w:before="200" w:after="40"/>
      </w:pPr>
      <w:r>
        <w:rPr>
          <w:rFonts w:ascii="Segoe UI" w:hAnsi="Segoe UI"/>
          <w:b/>
          <w:color w:val="1E293B"/>
          <w:sz w:val="21"/>
        </w:rPr>
        <w:t xml:space="preserve">4.2 Prohibición Estricta de Stock Negativo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[01:43:10].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Bloqueo inmutable: si se solicitan más unidades de las existentes, el sistema bloquea la transacción y exige ingresar primero la Guía de Despacho del proveedor.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Validado en reglas de backend y StockMantenedorPage.tsx.</w:t>
            </w:r>
          </w:p>
        </w:tc>
      </w:tr>
    </w:tbl>
    <w:p>
      <w:pPr>
        <w:keepNext/>
        <w:spacing w:before="200" w:after="40"/>
      </w:pPr>
      <w:r>
        <w:rPr>
          <w:rFonts w:ascii="Segoe UI" w:hAnsi="Segoe UI"/>
          <w:b/>
          <w:color w:val="1E293B"/>
          <w:sz w:val="21"/>
        </w:rPr>
        <w:t xml:space="preserve">4.3 Bodega Única por Empresa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[01:42:53].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Confirmación operativa de que Almahue gestiona una sola bodega física central por empresa.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Parametrización en modelo de datos por empresaId.</w:t>
            </w:r>
          </w:p>
        </w:tc>
      </w:tr>
    </w:tbl>
    <w:p>
      <w:pPr>
        <w:keepNext/>
        <w:spacing w:before="200" w:after="40"/>
      </w:pPr>
      <w:r>
        <w:rPr>
          <w:rFonts w:ascii="Segoe UI" w:hAnsi="Segoe UI"/>
          <w:b/>
          <w:color w:val="1E293B"/>
          <w:sz w:val="21"/>
        </w:rPr>
        <w:t xml:space="preserve">4.4 Ingreso Respaldado por Guía de Despacho Física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[01:44:04].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Toda entrada de insumos nace respaldada por la Guía de Despacho física recepcionada del proveedor.</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GuiasInsumosRecibidasPage.tsx.</w:t>
            </w:r>
          </w:p>
        </w:tc>
      </w:tr>
    </w:tbl>
    <w:p>
      <w:pPr>
        <w:keepNext/>
        <w:spacing w:before="200" w:after="40"/>
      </w:pPr>
      <w:r>
        <w:rPr>
          <w:rFonts w:ascii="Segoe UI" w:hAnsi="Segoe UI"/>
          <w:b/>
          <w:color w:val="1E293B"/>
          <w:sz w:val="21"/>
        </w:rPr>
        <w:t xml:space="preserve">4.5 Tipos de Movimientos de Bodega y Devolución a Proveedor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[01:40:06].</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8 movimientos de bodega. Devolución a proveedor con selección de la guía de despacho original para rescatar el precio de compra exacto del lote.</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Catálogo de movimientos operativo; modal de devolución con selección de guía original en UI en desarrollo.</w:t>
            </w:r>
          </w:p>
        </w:tc>
      </w:tr>
    </w:tbl>
    <w:p>
      <w:pPr>
        <w:keepNext/>
        <w:spacing w:before="320" w:after="80"/>
      </w:pPr>
      <w:r>
        <w:rPr>
          <w:rFonts w:ascii="Segoe UI" w:hAnsi="Segoe UI"/>
          <w:b/>
          <w:color w:val="1B365D"/>
          <w:sz w:val="26"/>
        </w:rPr>
        <w:t>Módulo 5: Activos Fijos</w:t>
      </w:r>
      <w:r>
        <w:rPr>
          <w:rFonts w:ascii="Segoe UI" w:hAnsi="Segoe UI"/>
          <w:i/>
          <w:color w:val="475569"/>
          <w:sz w:val="19"/>
        </w:rPr>
        <w:t xml:space="preserve">  ·  [3 Puntos · 1 Completo · 0 Parciales · 2 Faltantes]</w:t>
      </w:r>
    </w:p>
    <w:p>
      <w:pPr>
        <w:keepNext/>
        <w:spacing w:before="200" w:after="40"/>
      </w:pPr>
      <w:r>
        <w:rPr>
          <w:rFonts w:ascii="Segoe UI" w:hAnsi="Segoe UI"/>
          <w:b/>
          <w:color w:val="1E293B"/>
          <w:sz w:val="21"/>
        </w:rPr>
        <w:t xml:space="preserve">5.1 Nacimiento Obligatorio desde Orden de Compra (Mandato Agustín)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[24:00 - 28:50].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Agustín instruyó formalmente que todo activo fijo debe originarse en una Orden de Compra (tipo de compra 'Activo Fijo'). Al recepcionar la OC, se habilita la creación de la ficha en el maestro de Activos Fijos vinculada a la OC.</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Falta agregar el tipo de compra 'Activo Fijo' en OrdenCompraWizardPage.tsx y forzar la vinculación en AltaActivoFijoDialog.tsx.</w:t>
            </w:r>
          </w:p>
        </w:tc>
      </w:tr>
    </w:tbl>
    <w:p>
      <w:pPr>
        <w:keepNext/>
        <w:spacing w:before="200" w:after="40"/>
      </w:pPr>
      <w:r>
        <w:rPr>
          <w:rFonts w:ascii="Segoe UI" w:hAnsi="Segoe UI"/>
          <w:b/>
          <w:color w:val="1E293B"/>
          <w:sz w:val="21"/>
        </w:rPr>
        <w:t xml:space="preserve">5.2 Gráfico Consolidado General de Depreciación Mensual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[24:00 - 24:45].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Reemplazar el gráfico plano por activo individual por un gráfico consolidado general de depreciación mensual de toda la empresa que proyecte cuándo entra a depreciar un nuevo bien capitalizado.</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No existe el componente de reporte gráfico consolidado de depreciación mensual.</w:t>
            </w:r>
          </w:p>
        </w:tc>
      </w:tr>
    </w:tbl>
    <w:p>
      <w:pPr>
        <w:keepNext/>
        <w:spacing w:before="200" w:after="40"/>
      </w:pPr>
      <w:r>
        <w:rPr>
          <w:rFonts w:ascii="Segoe UI" w:hAnsi="Segoe UI"/>
          <w:b/>
          <w:color w:val="1E293B"/>
          <w:sz w:val="21"/>
        </w:rPr>
        <w:t xml:space="preserve">5.3 Auditoría e Historial de Activos Fijos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PM [00:00 - 02:40].</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Trazabilidad de altas, bajas, cambios de vida útil y revaluaciones.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ActivoFijoHistorialPanel.tsx.</w:t>
            </w:r>
          </w:p>
        </w:tc>
      </w:tr>
    </w:tbl>
    <w:p>
      <w:pPr>
        <w:keepNext/>
        <w:spacing w:before="320" w:after="80"/>
      </w:pPr>
      <w:r>
        <w:rPr>
          <w:rFonts w:ascii="Segoe UI" w:hAnsi="Segoe UI"/>
          <w:b/>
          <w:color w:val="1B365D"/>
          <w:sz w:val="26"/>
        </w:rPr>
        <w:t>Módulo 6: Tesorería, Bancos y Contrapartes</w:t>
      </w:r>
      <w:r>
        <w:rPr>
          <w:rFonts w:ascii="Segoe UI" w:hAnsi="Segoe UI"/>
          <w:i/>
          <w:color w:val="475569"/>
          <w:sz w:val="19"/>
        </w:rPr>
        <w:t xml:space="preserve">  ·  [6 Puntos · 3 Completos · 3 Parciales · 0 Faltantes]</w:t>
      </w:r>
    </w:p>
    <w:p>
      <w:pPr>
        <w:keepNext/>
        <w:spacing w:before="200" w:after="40"/>
      </w:pPr>
      <w:r>
        <w:rPr>
          <w:rFonts w:ascii="Segoe UI" w:hAnsi="Segoe UI"/>
          <w:b/>
          <w:color w:val="1E293B"/>
          <w:sz w:val="21"/>
        </w:rPr>
        <w:t xml:space="preserve">6.1 Parametrización Bancaria Multi-cuenta y Moneda (P-3b)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apuntes P-3b, Miércoles [02:12:33].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Parametrizador con lista de bancos (Banco Central). Posibilidad de registrar múltiples cuentas corrientes por banco, cada una con su número, tipo y moneda (CLP / USD). Número de cuenta visible para comprobantes.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CuentasCorrientesPage.tsx.</w:t>
            </w:r>
          </w:p>
        </w:tc>
      </w:tr>
    </w:tbl>
    <w:p>
      <w:pPr>
        <w:keepNext/>
        <w:spacing w:before="200" w:after="40"/>
      </w:pPr>
      <w:r>
        <w:rPr>
          <w:rFonts w:ascii="Segoe UI" w:hAnsi="Segoe UI"/>
          <w:b/>
          <w:color w:val="1E293B"/>
          <w:sz w:val="21"/>
        </w:rPr>
        <w:t xml:space="preserve">6.2 Carga Periódica de Cartolas Bancarias sin Duplicados (TES-1)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Lunes AM [01:09], Martes PM [01:09:20], Miércoles [02:18:16].</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Carga semanal o periódica del archivo directo del banco. El importador debe discriminar movimientos ya subidos en días anteriores del mes y cargar únicamente líneas nuevas sin duplicar registros. Separación automática por moneda.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CartolaBancariaPage.tsx procesa cartolas; falta reforzar en backend el detector de duplicados por hash compuesto.</w:t>
            </w:r>
          </w:p>
        </w:tc>
      </w:tr>
    </w:tbl>
    <w:p>
      <w:pPr>
        <w:keepNext/>
        <w:spacing w:before="200" w:after="40"/>
      </w:pPr>
      <w:r>
        <w:rPr>
          <w:rFonts w:ascii="Segoe UI" w:hAnsi="Segoe UI"/>
          <w:b/>
          <w:color w:val="1E293B"/>
          <w:sz w:val="21"/>
        </w:rPr>
        <w:t xml:space="preserve">6.3 Nómina Semanal de Pagos y Asignación de Compromisos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[02:19:15], [02:53:11].</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Asignación de facturas a semanas de pago. Selector en la primera columna para mover/aplazar lotes de facturas entre semanas. Tarjetas totalizadoras de pendientes y atrasados por semana.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NominasAgingPage.tsx y nomina-semana.ts.</w:t>
            </w:r>
          </w:p>
        </w:tc>
      </w:tr>
    </w:tbl>
    <w:p>
      <w:pPr>
        <w:keepNext/>
        <w:spacing w:before="200" w:after="40"/>
      </w:pPr>
      <w:r>
        <w:rPr>
          <w:rFonts w:ascii="Segoe UI" w:hAnsi="Segoe UI"/>
          <w:b/>
          <w:color w:val="1E293B"/>
          <w:sz w:val="21"/>
        </w:rPr>
        <w:t xml:space="preserve">6.4 Filtro Diferenciador de Proveedores vs Productores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[02:56:01].</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En la nómina semanal y en el estado de cuenta: filtro dropdown explícito para discriminar si la contraparte es 'Proveedor', 'Productor' o 'Ambos'. Permite a Lupe responder inmediatamente a gerencia el monto de pagos a productores agrícolas.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El campo esProductor existe en base de datos; falta incorporarlo como filtro dropdown en la cabecera de NominasAgingPage.tsx.</w:t>
            </w:r>
          </w:p>
        </w:tc>
      </w:tr>
    </w:tbl>
    <w:p>
      <w:pPr>
        <w:keepNext/>
        <w:spacing w:before="200" w:after="40"/>
      </w:pPr>
      <w:r>
        <w:rPr>
          <w:rFonts w:ascii="Segoe UI" w:hAnsi="Segoe UI"/>
          <w:b/>
          <w:color w:val="1E293B"/>
          <w:sz w:val="21"/>
        </w:rPr>
        <w:t xml:space="preserve">6.5 Gestión de Anticipos a Productores (Sin Factura Previa)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[02:57:08], [03:00:13].</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Los anticipos a productores se pagan por transferencia bancaria sin factura previa. Se registran en la cuenta corriente del productor y se liquidan al final de temporada contra la proforma/liquidación definitiva por kilos entregados.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AnticiposProductoresPage.tsx y en el ciclo de tesorería (ANTICIPO_PRODUCTOR).</w:t>
            </w:r>
          </w:p>
        </w:tc>
      </w:tr>
    </w:tbl>
    <w:p>
      <w:pPr>
        <w:keepNext/>
        <w:spacing w:before="200" w:after="40"/>
      </w:pPr>
      <w:r>
        <w:rPr>
          <w:rFonts w:ascii="Segoe UI" w:hAnsi="Segoe UI"/>
          <w:b/>
          <w:color w:val="1E293B"/>
          <w:sz w:val="21"/>
        </w:rPr>
        <w:t xml:space="preserve">6.6 Estado de Cuenta de Contrapartes: Modales Específicos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[02:58:44].</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Al hacer clic en una factura, abre el visor PDF; al hacer clic en un pago/transferencia, abre un modal con el comprobante bancario detallado. Histórico con selector obligatorio de rango de fechas.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Grilla de movimientos operativa; falta asociar los eventos clic a los modales emergentes.</w:t>
            </w:r>
          </w:p>
        </w:tc>
      </w:tr>
    </w:tbl>
    <w:p>
      <w:pPr>
        <w:keepNext/>
        <w:spacing w:before="320" w:after="80"/>
      </w:pPr>
      <w:r>
        <w:rPr>
          <w:rFonts w:ascii="Segoe UI" w:hAnsi="Segoe UI"/>
          <w:b/>
          <w:color w:val="1B365D"/>
          <w:sz w:val="26"/>
        </w:rPr>
        <w:t>Módulo 7: Comercial, Packing, Logística y Exportación (Comex)</w:t>
      </w:r>
      <w:r>
        <w:rPr>
          <w:rFonts w:ascii="Segoe UI" w:hAnsi="Segoe UI"/>
          <w:i/>
          <w:color w:val="475569"/>
          <w:sz w:val="19"/>
        </w:rPr>
        <w:t xml:space="preserve">  ·  [4 Puntos · 1 Completo · 1 Parcial · 2 Faltantes]</w:t>
      </w:r>
    </w:p>
    <w:p>
      <w:pPr>
        <w:keepNext/>
        <w:spacing w:before="200" w:after="40"/>
      </w:pPr>
      <w:r>
        <w:rPr>
          <w:rFonts w:ascii="Segoe UI" w:hAnsi="Segoe UI"/>
          <w:b/>
          <w:color w:val="1E293B"/>
          <w:sz w:val="21"/>
        </w:rPr>
        <w:t xml:space="preserve">7.1 Optimización de Contenedores y Pallets (Cajas Rojas vs Negras)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[00:00 - 04:35].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Planificación para armar contenedores homogéneos (~3.500–3.520 cajas). Evitar mezclar cajas rojas (menor valor) con cajas negras premium para no devaluar el precio de venta en China. Algoritmo 2.0 para consolidar puchos (pallets incompletos).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Herramienta externa de optimización. Requiere diseñar interfaces de conexión o ingesta hacia el ERP.</w:t>
            </w:r>
          </w:p>
        </w:tc>
      </w:tr>
    </w:tbl>
    <w:p>
      <w:pPr>
        <w:keepNext/>
        <w:spacing w:before="200" w:after="40"/>
      </w:pPr>
      <w:r>
        <w:rPr>
          <w:rFonts w:ascii="Segoe UI" w:hAnsi="Segoe UI"/>
          <w:b/>
          <w:color w:val="1E293B"/>
          <w:sz w:val="21"/>
        </w:rPr>
        <w:t xml:space="preserve">7.2 Lead Times Logísticos y Semáforo de Tiempos  </w:t>
      </w:r>
      <w:r>
        <w:rPr>
          <w:rFonts w:ascii="Segoe UI" w:hAnsi="Segoe UI"/>
          <w:b/>
          <w:color w:val="991B1B"/>
          <w:sz w:val="18"/>
        </w:rPr>
        <w:t xml:space="preserve"> [FALTANTE]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Miércoles [04:55], [10:27].</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Medición de tiempos: Recepción en Packing -&gt; Proceso -&gt; Despacho -&gt; Ingreso a Puerto -&gt; Zarpe de Nave -&gt; Arribo a China -&gt; Fecha de Apertura de Contenedor en Mercado. Semáforo visual para contenedores con retrasos de venta.</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Pantalla de reportería y tracking logístico no construida en el ERP.</w:t>
            </w:r>
          </w:p>
        </w:tc>
      </w:tr>
    </w:tbl>
    <w:p>
      <w:pPr>
        <w:keepNext/>
        <w:spacing w:before="200" w:after="40"/>
      </w:pPr>
      <w:r>
        <w:rPr>
          <w:rFonts w:ascii="Segoe UI" w:hAnsi="Segoe UI"/>
          <w:b/>
          <w:color w:val="1E293B"/>
          <w:sz w:val="21"/>
        </w:rPr>
        <w:t xml:space="preserve">7.3 Prevalidación Estricta de Esquema XML DTE (GoSocket vs SII)  </w:t>
      </w:r>
      <w:r>
        <w:rPr>
          <w:rFonts w:ascii="Segoe UI" w:hAnsi="Segoe UI"/>
          <w:b/>
          <w:color w:val="854D0E"/>
          <w:sz w:val="18"/>
        </w:rPr>
        <w:t xml:space="preserve"> [PARCIAL]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[00:00 - 01:05].</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GoSocket no valida esquema XSD antes de enviar, provocando rechazos tardíos en el SII. El ERP debe prevalidar localmente la estructura XML antes del despacho HTTP.</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Existen validadores funcionales en canonical-builder; falta la validación estricta contra esquemas XSD oficiales.</w:t>
            </w:r>
          </w:p>
        </w:tc>
      </w:tr>
    </w:tbl>
    <w:p>
      <w:pPr>
        <w:keepNext/>
        <w:spacing w:before="200" w:after="40"/>
      </w:pPr>
      <w:r>
        <w:rPr>
          <w:rFonts w:ascii="Segoe UI" w:hAnsi="Segoe UI"/>
          <w:b/>
          <w:color w:val="1E293B"/>
          <w:sz w:val="21"/>
        </w:rPr>
        <w:t xml:space="preserve">7.4 Emisión de Guías de Despacho Electrónicas (Resolución 154)  </w:t>
      </w:r>
      <w:r>
        <w:rPr>
          <w:rFonts w:ascii="Segoe UI" w:hAnsi="Segoe UI"/>
          <w:b/>
          <w:color w:val="166534"/>
          <w:sz w:val="18"/>
        </w:rPr>
        <w:t xml:space="preserve"> [COMPLETO] </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112"/>
        <w:gridCol w:w="5112"/>
      </w:tblGrid>
      <w:tr>
        <w:tc>
          <w:tcPr>
            <w:tcW w:type="dxa" w:w="2592"/>
            <w:shd w:fill="F1F5F9"/>
            <w:tcMar>
              <w:top w:w="40" w:type="dxa"/>
              <w:bottom w:w="40" w:type="dxa"/>
              <w:left w:w="80" w:type="dxa"/>
              <w:right w:w="80" w:type="dxa"/>
            </w:tcMar>
          </w:tcPr>
          <w:p>
            <w:pPr>
              <w:spacing w:after="0"/>
            </w:pPr>
            <w:r>
              <w:rPr>
                <w:rFonts w:ascii="Segoe UI" w:hAnsi="Segoe UI"/>
                <w:b/>
                <w:color w:val="1B365D"/>
                <w:sz w:val="17"/>
              </w:rPr>
              <w:t>Origen / Timestamps</w:t>
            </w:r>
          </w:p>
        </w:tc>
        <w:tc>
          <w:tcPr>
            <w:tcW w:type="dxa" w:w="7632"/>
            <w:shd w:fill="F8FAFC"/>
            <w:tcMar>
              <w:top w:w="40" w:type="dxa"/>
              <w:bottom w:w="40" w:type="dxa"/>
              <w:left w:w="80" w:type="dxa"/>
              <w:right w:w="80" w:type="dxa"/>
            </w:tcMar>
          </w:tcPr>
          <w:p>
            <w:pPr>
              <w:spacing w:after="0"/>
            </w:pPr>
            <w:r>
              <w:rPr>
                <w:rFonts w:ascii="Segoe UI" w:hAnsi="Segoe UI"/>
                <w:color w:val="1E293B"/>
                <w:sz w:val="17"/>
              </w:rPr>
              <w:t>Martes AM [00:50 - 01:02].</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Descripción Operativa</w:t>
            </w:r>
          </w:p>
        </w:tc>
        <w:tc>
          <w:tcPr>
            <w:tcW w:type="dxa" w:w="7632"/>
            <w:shd w:fill="FFFFFF"/>
            <w:tcMar>
              <w:top w:w="40" w:type="dxa"/>
              <w:bottom w:w="40" w:type="dxa"/>
              <w:left w:w="80" w:type="dxa"/>
              <w:right w:w="80" w:type="dxa"/>
            </w:tcMar>
          </w:tcPr>
          <w:p>
            <w:pPr>
              <w:spacing w:after="0"/>
            </w:pPr>
            <w:r>
              <w:rPr>
                <w:rFonts w:ascii="Segoe UI" w:hAnsi="Segoe UI"/>
                <w:color w:val="1E293B"/>
                <w:sz w:val="17"/>
              </w:rPr>
              <w:t>Emisión de guías de despacho (código 52) con campos operativos de transporte y trazabilidad para traslados y ventas.</w:t>
            </w:r>
          </w:p>
        </w:tc>
      </w:tr>
      <w:tr>
        <w:tc>
          <w:tcPr>
            <w:tcW w:type="dxa" w:w="2592"/>
            <w:shd w:fill="F1F5F9"/>
            <w:tcMar>
              <w:top w:w="40" w:type="dxa"/>
              <w:bottom w:w="40" w:type="dxa"/>
              <w:left w:w="80" w:type="dxa"/>
              <w:right w:w="80" w:type="dxa"/>
            </w:tcMar>
          </w:tcPr>
          <w:p>
            <w:pPr>
              <w:spacing w:after="0"/>
            </w:pPr>
            <w:r>
              <w:rPr>
                <w:rFonts w:ascii="Segoe UI" w:hAnsi="Segoe UI"/>
                <w:b/>
                <w:color w:val="1B365D"/>
                <w:sz w:val="17"/>
              </w:rPr>
              <w:t>Estado en Código / Brecha</w:t>
            </w:r>
          </w:p>
        </w:tc>
        <w:tc>
          <w:tcPr>
            <w:tcW w:type="dxa" w:w="7632"/>
            <w:shd w:fill="F8FAFC"/>
            <w:tcMar>
              <w:top w:w="40" w:type="dxa"/>
              <w:bottom w:w="40" w:type="dxa"/>
              <w:left w:w="80" w:type="dxa"/>
              <w:right w:w="80" w:type="dxa"/>
            </w:tcMar>
          </w:tcPr>
          <w:p>
            <w:pPr>
              <w:spacing w:after="0"/>
            </w:pPr>
            <w:r>
              <w:rPr>
                <w:rFonts w:ascii="Segoe UI" w:hAnsi="Segoe UI"/>
                <w:color w:val="1E293B"/>
                <w:sz w:val="17"/>
              </w:rPr>
              <w:t>Implementado en GuiasDespachoPage.tsx y guia-resolucion-154.ts.</w:t>
            </w:r>
          </w:p>
        </w:tc>
      </w:tr>
    </w:tbl>
    <w:p>
      <w:pPr>
        <w:keepNext/>
        <w:spacing w:before="360" w:after="80"/>
      </w:pPr>
      <w:r>
        <w:rPr>
          <w:rFonts w:ascii="Segoe UI" w:hAnsi="Segoe UI"/>
          <w:b/>
          <w:color w:val="1B365D"/>
          <w:sz w:val="26"/>
        </w:rPr>
        <w:t>3. Próximos Pasos y Plan de Acción Priorizado (3 Sprints Inmediatos)</w:t>
      </w:r>
    </w:p>
    <w:p>
      <w:pPr>
        <w:keepNext/>
        <w:spacing w:before="160" w:after="40"/>
      </w:pPr>
      <w:r>
        <w:rPr>
          <w:rFonts w:ascii="Segoe UI" w:hAnsi="Segoe UI"/>
          <w:b/>
          <w:color w:val="1E3A8A"/>
          <w:sz w:val="21"/>
        </w:rPr>
        <w:t>Sprint 1 (Compras / Tesorería - Alto Impacto UX)</w:t>
      </w:r>
    </w:p>
    <w:p>
      <w:pPr>
        <w:spacing w:before="20" w:after="40"/>
        <w:ind w:left="288"/>
      </w:pPr>
      <w:r>
        <w:rPr>
          <w:rFonts w:ascii="Segoe UI Symbol" w:hAnsi="Segoe UI Symbol"/>
          <w:b/>
          <w:color w:val="1B365D"/>
          <w:sz w:val="20"/>
        </w:rPr>
        <w:t xml:space="preserve">☐  </w:t>
      </w:r>
      <w:r>
        <w:rPr>
          <w:rFonts w:ascii="Segoe UI" w:hAnsi="Segoe UI"/>
          <w:color w:val="1E293B"/>
          <w:sz w:val="18"/>
        </w:rPr>
        <w:t>Implementar el modal emergente universal de PDF de Factura con botón 'Ir a Libro de Compras' en Notas de Cobro, Nómina Semanal y Estado de Cuenta.</w:t>
      </w:r>
    </w:p>
    <w:p>
      <w:pPr>
        <w:spacing w:before="20" w:after="40"/>
        <w:ind w:left="288"/>
      </w:pPr>
      <w:r>
        <w:rPr>
          <w:rFonts w:ascii="Segoe UI Symbol" w:hAnsi="Segoe UI Symbol"/>
          <w:b/>
          <w:color w:val="1B365D"/>
          <w:sz w:val="20"/>
        </w:rPr>
        <w:t xml:space="preserve">☐  </w:t>
      </w:r>
      <w:r>
        <w:rPr>
          <w:rFonts w:ascii="Segoe UI" w:hAnsi="Segoe UI"/>
          <w:color w:val="1E293B"/>
          <w:sz w:val="18"/>
        </w:rPr>
        <w:t>Agregar el filtro dropdown Proveedor vs Productor en NominasAgingPage.tsx.</w:t>
      </w:r>
    </w:p>
    <w:p>
      <w:pPr>
        <w:spacing w:before="20" w:after="40"/>
        <w:ind w:left="288"/>
      </w:pPr>
      <w:r>
        <w:rPr>
          <w:rFonts w:ascii="Segoe UI Symbol" w:hAnsi="Segoe UI Symbol"/>
          <w:b/>
          <w:color w:val="1B365D"/>
          <w:sz w:val="20"/>
        </w:rPr>
        <w:t xml:space="preserve">☐  </w:t>
      </w:r>
      <w:r>
        <w:rPr>
          <w:rFonts w:ascii="Segoe UI" w:hAnsi="Segoe UI"/>
          <w:color w:val="1E293B"/>
          <w:sz w:val="18"/>
        </w:rPr>
        <w:t>Automatizar el cálculo default de fecha de vencimiento (fechaEmision + 30 días) en Notas de Cobro.</w:t>
      </w:r>
    </w:p>
    <w:p>
      <w:pPr>
        <w:keepNext/>
        <w:spacing w:before="160" w:after="40"/>
      </w:pPr>
      <w:r>
        <w:rPr>
          <w:rFonts w:ascii="Segoe UI" w:hAnsi="Segoe UI"/>
          <w:b/>
          <w:color w:val="1E3A8A"/>
          <w:sz w:val="21"/>
        </w:rPr>
        <w:t>Sprint 2 (Activos Fijos / Contabilidad - Requisitos Mandatorios)</w:t>
      </w:r>
    </w:p>
    <w:p>
      <w:pPr>
        <w:spacing w:before="20" w:after="40"/>
        <w:ind w:left="288"/>
      </w:pPr>
      <w:r>
        <w:rPr>
          <w:rFonts w:ascii="Segoe UI Symbol" w:hAnsi="Segoe UI Symbol"/>
          <w:b/>
          <w:color w:val="1B365D"/>
          <w:sz w:val="20"/>
        </w:rPr>
        <w:t xml:space="preserve">☐  </w:t>
      </w:r>
      <w:r>
        <w:rPr>
          <w:rFonts w:ascii="Segoe UI" w:hAnsi="Segoe UI"/>
          <w:color w:val="1E293B"/>
          <w:sz w:val="18"/>
        </w:rPr>
        <w:t>Agregar el tipo de compra 'Activo Fijo' en la Orden de Compra y forzar la vinculación en el alta de activo fijo (mandato Agustín).</w:t>
      </w:r>
    </w:p>
    <w:p>
      <w:pPr>
        <w:spacing w:before="20" w:after="40"/>
        <w:ind w:left="288"/>
      </w:pPr>
      <w:r>
        <w:rPr>
          <w:rFonts w:ascii="Segoe UI Symbol" w:hAnsi="Segoe UI Symbol"/>
          <w:b/>
          <w:color w:val="1B365D"/>
          <w:sz w:val="20"/>
        </w:rPr>
        <w:t xml:space="preserve">☐  </w:t>
      </w:r>
      <w:r>
        <w:rPr>
          <w:rFonts w:ascii="Segoe UI" w:hAnsi="Segoe UI"/>
          <w:color w:val="1E293B"/>
          <w:sz w:val="18"/>
        </w:rPr>
        <w:t>Diseñar el gráfico consolidado mensual de depreciación de toda la empresa.</w:t>
      </w:r>
    </w:p>
    <w:p>
      <w:pPr>
        <w:spacing w:before="20" w:after="40"/>
        <w:ind w:left="288"/>
      </w:pPr>
      <w:r>
        <w:rPr>
          <w:rFonts w:ascii="Segoe UI Symbol" w:hAnsi="Segoe UI Symbol"/>
          <w:b/>
          <w:color w:val="1B365D"/>
          <w:sz w:val="20"/>
        </w:rPr>
        <w:t xml:space="preserve">☐  </w:t>
      </w:r>
      <w:r>
        <w:rPr>
          <w:rFonts w:ascii="Segoe UI" w:hAnsi="Segoe UI"/>
          <w:color w:val="1E293B"/>
          <w:sz w:val="18"/>
        </w:rPr>
        <w:t>Asegurar el GROUP BY por Centro de Costo y el auxiliar RUT en el asiento de cierre de Contratistas.</w:t>
      </w:r>
    </w:p>
    <w:p>
      <w:pPr>
        <w:keepNext/>
        <w:spacing w:before="160" w:after="40"/>
      </w:pPr>
      <w:r>
        <w:rPr>
          <w:rFonts w:ascii="Segoe UI" w:hAnsi="Segoe UI"/>
          <w:b/>
          <w:color w:val="1E3A8A"/>
          <w:sz w:val="21"/>
        </w:rPr>
        <w:t>Sprint 3 (Bodega e Importaciones)</w:t>
      </w:r>
    </w:p>
    <w:p>
      <w:pPr>
        <w:spacing w:before="20" w:after="40"/>
        <w:ind w:left="288"/>
      </w:pPr>
      <w:r>
        <w:rPr>
          <w:rFonts w:ascii="Segoe UI Symbol" w:hAnsi="Segoe UI Symbol"/>
          <w:b/>
          <w:color w:val="1B365D"/>
          <w:sz w:val="20"/>
        </w:rPr>
        <w:t xml:space="preserve">☐  </w:t>
      </w:r>
      <w:r>
        <w:rPr>
          <w:rFonts w:ascii="Segoe UI" w:hAnsi="Segoe UI"/>
          <w:color w:val="1E293B"/>
          <w:sz w:val="18"/>
        </w:rPr>
        <w:t>Construir la interfaz de Guía de Aplicación de Campo con rebaja de stock por cuartel.</w:t>
      </w:r>
    </w:p>
    <w:p>
      <w:pPr>
        <w:spacing w:before="20" w:after="40"/>
        <w:ind w:left="288"/>
      </w:pPr>
      <w:r>
        <w:rPr>
          <w:rFonts w:ascii="Segoe UI Symbol" w:hAnsi="Segoe UI Symbol"/>
          <w:b/>
          <w:color w:val="1B365D"/>
          <w:sz w:val="20"/>
        </w:rPr>
        <w:t xml:space="preserve">☐  </w:t>
      </w:r>
      <w:r>
        <w:rPr>
          <w:rFonts w:ascii="Segoe UI" w:hAnsi="Segoe UI"/>
          <w:color w:val="1E293B"/>
          <w:sz w:val="18"/>
        </w:rPr>
        <w:t>Reforzar el validador estricto fail-closed para la importación masiva tipo Agrosoft.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