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B365D"/>
          <w:sz w:val="36"/>
        </w:rPr>
        <w:t>ERP ALMAHUE · CHECKLIST INTEGRAL DE PRESENTACIÓN</w:t>
      </w:r>
    </w:p>
    <w:p>
      <w:pPr>
        <w:spacing w:after="280"/>
      </w:pPr>
      <w:r>
        <w:rPr>
          <w:rFonts w:ascii="Segoe UI" w:hAnsi="Segoe UI"/>
          <w:color w:val="475569"/>
          <w:sz w:val="21"/>
        </w:rPr>
        <w:t>Reunión Presencial con Cliente · 26 de Octubre de 2026</w:t>
        <w:br/>
        <w:t>Participantes: María Jesús (MJ), Lupe, Fran, Mario, Carlos y Sergio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Entornos de Acceso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>Local: http://localhost:5174 | Servidor: http://45.7.229.46/almahue-erp/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Usuario Demo / Operador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>admin@almahue.local  |  Clave: Admin123!  |  PIN Firma: 4821</w:t>
            </w:r>
          </w:p>
        </w:tc>
      </w:tr>
      <w:tr>
        <w:tc>
          <w:tcPr>
            <w:tcW w:type="dxa" w:w="3168"/>
            <w:shd w:val="clear" w:color="auto"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B365D"/>
                <w:sz w:val="19"/>
              </w:rPr>
              <w:t>Empresas de Demostración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9"/>
              </w:rPr>
              <w:t>Agrícola Almahue (RUT principal)  |  ALM Service (Dualidad y Servicios)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1. Parametrización y Catálogos Maestros</w:t>
      </w:r>
      <w:r>
        <w:rPr>
          <w:rFonts w:ascii="Segoe UI" w:hAnsi="Segoe UI"/>
          <w:i/>
          <w:color w:val="475569"/>
          <w:sz w:val="20"/>
        </w:rPr>
        <w:t xml:space="preserve">  ·  [Base transversal · Lupe, MJ y Fran]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Mantenedor de Bancos (/catalogos/bancos): </w:t>
      </w:r>
      <w:r>
        <w:rPr>
          <w:rFonts w:ascii="Segoe UI" w:hAnsi="Segoe UI"/>
          <w:color w:val="1E293B"/>
          <w:sz w:val="19"/>
        </w:rPr>
        <w:t>Crear una nueva institución seleccionando de la lista oficial chilena (Banco de Chile, Santander, BCI, Estado) y asociar a cuenta contable 1-1-01.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Los bancos creados impactan automáticamente en Cartolas, Cuentas Corrientes y Flujo sin tocar código.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Mantenedor de Productores separado de Proveedores (/catalogos/productores): </w:t>
      </w:r>
      <w:r>
        <w:rPr>
          <w:rFonts w:ascii="Segoe UI" w:hAnsi="Segoe UI"/>
          <w:color w:val="1E293B"/>
          <w:sz w:val="19"/>
        </w:rPr>
        <w:t>Mostrar en el menú la ubicación dedicada entre Proveedores y Contratistas. Probar creación con un RUT existente para mostrar la sinergia automática de contactos y direcciones.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Se separa el catálogo para liquidaciones y fruta, evitando informes cruzados con proveedores de insumos.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Factor de Honorarios e Indicadores BC (/catalogos/factor-honorarios): </w:t>
      </w:r>
      <w:r>
        <w:rPr>
          <w:rFonts w:ascii="Segoe UI" w:hAnsi="Segoe UI"/>
          <w:color w:val="1E293B"/>
          <w:sz w:val="19"/>
        </w:rPr>
        <w:t>Mostrar que el factor (13.75%) fue retirado del uso diario de contabilidad y quedó en Parametrización como dato maestro anual. Revisar tabla de IPC mensual para activo fijo.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Configuración limpia sin interferir en la digitación periódica.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Monedas dinámicas y Alertas de Configuración Faltante: </w:t>
      </w:r>
      <w:r>
        <w:rPr>
          <w:rFonts w:ascii="Segoe UI" w:hAnsi="Segoe UI"/>
          <w:color w:val="1E293B"/>
          <w:sz w:val="19"/>
        </w:rPr>
        <w:t>Demostrar que monedas (CLP, USD, EUR, CNY) se gestionan dinámicamente. Mostrar la alerta visual con icono '!' si la empresa carece de bancos o tipo de cambio del día.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Protección activa para evitar que los operadores ingresen asientos o cartolas sin parámetros.</w:t>
      </w: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2. Insumos, Bodegas y Libro de Guías</w:t>
      </w:r>
      <w:r>
        <w:rPr>
          <w:rFonts w:ascii="Segoe UI" w:hAnsi="Segoe UI"/>
          <w:i/>
          <w:color w:val="475569"/>
          <w:sz w:val="20"/>
        </w:rPr>
        <w:t xml:space="preserve">  ·  [Fran y MJ]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Maestro de Insumos y Precio de Compra (/insumos/articulos): </w:t>
      </w:r>
      <w:r>
        <w:rPr>
          <w:rFonts w:ascii="Segoe UI" w:hAnsi="Segoe UI"/>
          <w:color w:val="1E293B"/>
          <w:sz w:val="19"/>
        </w:rPr>
        <w:t>Mostrar artículos con unidad de medida parametrizada. Revisar el campo 'Precio de compra del maestro' y costo promedio.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Regla D16: el sistema bloquea comercialmente vender o valorar por debajo del costo de compra oficial.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Libro de Guías: Ingreso Manual y Acepta (/insumos/guias): </w:t>
      </w:r>
      <w:r>
        <w:rPr>
          <w:rFonts w:ascii="Segoe UI" w:hAnsi="Segoe UI"/>
          <w:color w:val="1E293B"/>
          <w:sz w:val="19"/>
        </w:rPr>
        <w:t>Mostrar el botón 'Ingreso manual' para guías físicas de campo. Subir archivos adjuntos escaneados o importar planilla Excel bajada de Acepta.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Resuelve la dualidad operativa mientras abastecimiento migra gradualmente desde Acepta a GoSocket.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Estados de Ley y Trazabilidad SII: </w:t>
      </w:r>
      <w:r>
        <w:rPr>
          <w:rFonts w:ascii="Segoe UI" w:hAnsi="Segoe UI"/>
          <w:color w:val="1E293B"/>
          <w:sz w:val="19"/>
        </w:rPr>
        <w:t>Visualizar columnas de acuse comercial, reclamo de contenido y recibo de mercaderías para cumplimiento tributario.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Transparencia total con el SII y trazabilidad por número de guía.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Cierre Mensual de Bodega e Insumos (/insumos/cierre-bodega): </w:t>
      </w:r>
      <w:r>
        <w:rPr>
          <w:rFonts w:ascii="Segoe UI" w:hAnsi="Segoe UI"/>
          <w:color w:val="1E293B"/>
          <w:sz w:val="19"/>
        </w:rPr>
        <w:t>Explicar que las recepciones individuales no mueven caja ni generan deuda directa; se acumulan y al cierre de mes generan un único asiento: Existencias vs Facturas por Recibir.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Cuenta preseleccionada y glosa editable a cargo de la jefatura contable.</w:t>
      </w: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3. Compras, Órdenes y Aprobaciones</w:t>
      </w:r>
      <w:r>
        <w:rPr>
          <w:rFonts w:ascii="Segoe UI" w:hAnsi="Segoe UI"/>
          <w:i/>
          <w:color w:val="475569"/>
          <w:sz w:val="20"/>
        </w:rPr>
        <w:t xml:space="preserve">  ·  [Lupe, MJ y Mario]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Wizard de Orden de Compra (OC-AAAA-NNNN): </w:t>
      </w:r>
      <w:r>
        <w:rPr>
          <w:rFonts w:ascii="Segoe UI" w:hAnsi="Segoe UI"/>
          <w:color w:val="1E293B"/>
          <w:sz w:val="19"/>
        </w:rPr>
        <w:t>Crear una orden con numeración formal. En el paso 1, seleccionar condiciones de pago comerciales (Contado, 15, 30, 45, 60, 90, 120 días). Notar alerta si coincide con la ficha.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Cotización es solo una referencia opcional en la OC (D11); no hay menú ni trámite previo de cotización.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Cadena de Aprobación por Escalas y Grupos (/admin/aprobaciones): </w:t>
      </w:r>
      <w:r>
        <w:rPr>
          <w:rFonts w:ascii="Segoe UI" w:hAnsi="Segoe UI"/>
          <w:color w:val="1E293B"/>
          <w:sz w:val="19"/>
        </w:rPr>
        <w:t>Demostrar que la aprobación es exclusiva de Compras (OC). Firmar con PIN de 4 dígitos (4821). Mostrar simulador de cadena según tramos en UF/CLP.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Regla canónica D4: se eliminó la cadena en Ventas (la OV va directo a facturar con stock).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Ciclo de Órdenes Madre e Hijas: </w:t>
      </w:r>
      <w:r>
        <w:rPr>
          <w:rFonts w:ascii="Segoe UI" w:hAnsi="Segoe UI"/>
          <w:color w:val="1E293B"/>
          <w:sz w:val="19"/>
        </w:rPr>
        <w:t>Demostrar que la OC Hija se crea con la recepción física. Al asociarle la factura en el Libro de Compras, la Hija se calza al 100% y muere/cierra sin saldo remanente.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La única orden que conserva saldo para futuras recepciones es la OC Madre.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Libro de Compras y Control de OC No Aprobada (/compras/libro): </w:t>
      </w:r>
      <w:r>
        <w:rPr>
          <w:rFonts w:ascii="Segoe UI" w:hAnsi="Segoe UI"/>
          <w:color w:val="1E293B"/>
          <w:sz w:val="19"/>
        </w:rPr>
        <w:t>Asociar factura a orden de compra. Mostrar cómo se mata la cuenta 'Facturas por Recibir' y nace 'Proveedores'. Si la OC no está aprobada, se bloquea la contabilización y el pago.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Garantiza que no se emita ningún cheque ni transferencia sin la firma previa de la orden.</w:t>
      </w: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4. Contratistas y Proformas</w:t>
      </w:r>
      <w:r>
        <w:rPr>
          <w:rFonts w:ascii="Segoe UI" w:hAnsi="Segoe UI"/>
          <w:i/>
          <w:color w:val="475569"/>
          <w:sz w:val="20"/>
        </w:rPr>
        <w:t xml:space="preserve">  ·  [MJ y Operaciones]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Proformas de Contratistas (/contratistas/proformas): </w:t>
      </w:r>
      <w:r>
        <w:rPr>
          <w:rFonts w:ascii="Segoe UI" w:hAnsi="Segoe UI"/>
          <w:color w:val="1E293B"/>
          <w:sz w:val="19"/>
        </w:rPr>
        <w:t>Mostrar paso de Borrador a Definitiva con permiso de rol (contratistas:write), sin cadena burocrática de PIN.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Desglose por contratista, faena, cuartel y labor agrícola con respaldo de adjuntos.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Cierre y Centralización de Contratistas (/contratistas/traspaso): </w:t>
      </w:r>
      <w:r>
        <w:rPr>
          <w:rFonts w:ascii="Segoe UI" w:hAnsi="Segoe UI"/>
          <w:color w:val="1E293B"/>
          <w:sz w:val="19"/>
        </w:rPr>
        <w:t>Mostrar que al asiento de centralización solo pasan las proformas facturadas; las demás quedan como informativas.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Cuenta preseleccionada 'Mano de obra contratista' y glosa editable.</w:t>
      </w: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5. Ventas, Facturación y DTE</w:t>
      </w:r>
      <w:r>
        <w:rPr>
          <w:rFonts w:ascii="Segoe UI" w:hAnsi="Segoe UI"/>
          <w:i/>
          <w:color w:val="475569"/>
          <w:sz w:val="20"/>
        </w:rPr>
        <w:t xml:space="preserve">  ·  [MJ y Facturación]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Órdenes de Venta con Validación de Stock y Costo (/comercial/ordenes): </w:t>
      </w:r>
      <w:r>
        <w:rPr>
          <w:rFonts w:ascii="Segoe UI" w:hAnsi="Segoe UI"/>
          <w:color w:val="1E293B"/>
          <w:sz w:val="19"/>
        </w:rPr>
        <w:t>Al pulsar Guardar, el sistema valida existencias en bodega y deja la orden directamente en CONFIRMADA. Probar bloqueo si el precio de venta es inferior al costo de compra (D16).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Protege el margen comercial y agiliza la facturación sin pasos innecesarios.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Emisión de DTE Factura/NC/ND/Guía (/comercial/emitir): </w:t>
      </w:r>
      <w:r>
        <w:rPr>
          <w:rFonts w:ascii="Segoe UI" w:hAnsi="Segoe UI"/>
          <w:color w:val="1E293B"/>
          <w:sz w:val="19"/>
        </w:rPr>
        <w:t>Seleccionar cliente normalizado. Emitir Factura electrónica (33). Explicar que en la emisión no se piden cuentas contables para no distraer al emisor.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El documento queda EMITIDO y viaja automáticamente al Libro de Ventas como 'Por contabilizar'.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Libro de Ventas y Contabilización (/comercial/libro): </w:t>
      </w:r>
      <w:r>
        <w:rPr>
          <w:rFonts w:ascii="Segoe UI" w:hAnsi="Segoe UI"/>
          <w:color w:val="1E293B"/>
          <w:sz w:val="19"/>
        </w:rPr>
        <w:t>Mostrar las órdenes 'Por facturar' y los DTEs 'Por contabilizar'. Abrir modal de asignación de cuentas por ítem y generar el asiento formal.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Desacoplamiento limpio entre la operación de venta y el control contable.</w:t>
      </w: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6. Tesorería, Cartolas y Cuentas Corrientes</w:t>
      </w:r>
      <w:r>
        <w:rPr>
          <w:rFonts w:ascii="Segoe UI" w:hAnsi="Segoe UI"/>
          <w:i/>
          <w:color w:val="475569"/>
          <w:sz w:val="20"/>
        </w:rPr>
        <w:t xml:space="preserve">  ·  [Lupe y MJ]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Cartolas Bancarias y Adjuntos (/tesoreria/cartolas): </w:t>
      </w:r>
      <w:r>
        <w:rPr>
          <w:rFonts w:ascii="Segoe UI" w:hAnsi="Segoe UI"/>
          <w:color w:val="1E293B"/>
          <w:sz w:val="19"/>
        </w:rPr>
        <w:t>Cargar archivo de cartola bancaria. Mostrar switch de conversión de monedas (USD/CNY a CLP). Abrir un movimiento y subir adjuntos de boletas o comprobantes de transferencia.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Parser dinámico por nombres de columnas (no posicional). Totales por concepto plegables.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Nómina Semanal y Aging (/tesoreria/nominas-aging): </w:t>
      </w:r>
      <w:r>
        <w:rPr>
          <w:rFonts w:ascii="Segoe UI" w:hAnsi="Segoe UI"/>
          <w:color w:val="1E293B"/>
          <w:sz w:val="19"/>
        </w:rPr>
        <w:t>Mostrar grilla limpia con un único badge prioritario por fila (Pagada &gt; OC no operable &gt; Crítico/90d &gt; Semana movida &gt; Pendiente). Demostrar cambio de semana de pago con motivo obligatorio.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El sistema exige justificación obligatoria (mín. 5 car.) para respaldo y trazabilidad de prórrogas.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Estado de Cuenta por RUT / Cuentas Corrientes (/tesoreria/cuentas-corrientes): </w:t>
      </w:r>
      <w:r>
        <w:rPr>
          <w:rFonts w:ascii="Segoe UI" w:hAnsi="Segoe UI"/>
          <w:color w:val="1E293B"/>
          <w:sz w:val="19"/>
        </w:rPr>
        <w:t>Kardex unificado por RUT con filtro directo por rol: Proveedor, Productor o Cliente. Abrir modal de detalle con filtro Pendiente vs Histórico y pinchar 'Exportar Excel'.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Genera Excel con cabecera de RUT, razón social y detalle cronológico de calces y saldos.</w:t>
      </w: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7. Contabilidad General y Libros Oficiales</w:t>
      </w:r>
      <w:r>
        <w:rPr>
          <w:rFonts w:ascii="Segoe UI" w:hAnsi="Segoe UI"/>
          <w:i/>
          <w:color w:val="475569"/>
          <w:sz w:val="20"/>
        </w:rPr>
        <w:t xml:space="preserve">  ·  [María Jesús]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Comprobantes y Asientos (/contabilidad/asientos): </w:t>
      </w:r>
      <w:r>
        <w:rPr>
          <w:rFonts w:ascii="Segoe UI" w:hAnsi="Segoe UI"/>
          <w:color w:val="1E293B"/>
          <w:sz w:val="19"/>
        </w:rPr>
        <w:t>Filtro 'Solo activos' activo por defecto (reversas ocultas). Pinchar 'Editar glosa' para agregar comentarios de auditoría sin alterar cuentas ni montos. Pinchar 'Exportar PDF'.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Cumple invariables P0-1: la glosa es editable para auditoría, las cuentas y montos quedan protegidos.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Libro Mayor con Fechas y Multi-Año (/contabilidad/mayor): </w:t>
      </w:r>
      <w:r>
        <w:rPr>
          <w:rFonts w:ascii="Segoe UI" w:hAnsi="Segoe UI"/>
          <w:color w:val="1E293B"/>
          <w:sz w:val="19"/>
        </w:rPr>
        <w:t>Filtro con calendario (Desde/Hasta) e input de búsqueda rápida de cuentas. Mostrar que el Mayor sí permite consultar rangos que cruzan múltiples años.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Permite auditorías históricas profundas con totales de Debe y Haber agregados.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Balance de 8 Columnas y Estados Financieros (/contabilidad/balance): </w:t>
      </w:r>
      <w:r>
        <w:rPr>
          <w:rFonts w:ascii="Segoe UI" w:hAnsi="Segoe UI"/>
          <w:color w:val="1E293B"/>
          <w:sz w:val="19"/>
        </w:rPr>
        <w:t>Intentar consultar cruzando de un año a otro (ej: dic-2025 a ene-2026). Mostrar la advertencia bloqueante: 'Cuentas de resultado cierran al 31 de diciembre; consulta dentro del mismo año'.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Acuerdo explícito del 22/10 con MJ: garantiza que los balances anuales no arrastren distorsiones.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Presupuestos por Centro de Costo (/presupuestos): </w:t>
      </w:r>
      <w:r>
        <w:rPr>
          <w:rFonts w:ascii="Segoe UI" w:hAnsi="Segoe UI"/>
          <w:color w:val="1E293B"/>
          <w:sz w:val="19"/>
        </w:rPr>
        <w:t>Visualizar ejecución anual de montos por centro de costo y pinchar 'Exportar PDF / Imprimir'.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Reporte ejecutivo estructurado con porcentajes de consumo y saldos disponibles.</w:t>
      </w:r>
    </w:p>
    <w:p>
      <w:pPr>
        <w:keepNext/>
        <w:spacing w:before="280" w:after="80"/>
      </w:pPr>
      <w:r>
        <w:rPr>
          <w:rFonts w:ascii="Segoe UI" w:hAnsi="Segoe UI"/>
          <w:b/>
          <w:color w:val="1B365D"/>
          <w:sz w:val="26"/>
        </w:rPr>
        <w:t>8. Activo Fijo</w:t>
      </w:r>
      <w:r>
        <w:rPr>
          <w:rFonts w:ascii="Segoe UI" w:hAnsi="Segoe UI"/>
          <w:i/>
          <w:color w:val="475569"/>
          <w:sz w:val="20"/>
        </w:rPr>
        <w:t xml:space="preserve">  ·  [María Jesús]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Alta de Activo Fijo (/catalogos/activo-fijo): </w:t>
      </w:r>
      <w:r>
        <w:rPr>
          <w:rFonts w:ascii="Segoe UI" w:hAnsi="Segoe UI"/>
          <w:color w:val="1E293B"/>
          <w:sz w:val="19"/>
        </w:rPr>
        <w:t>Alta directa ligada exclusivamente a una factura del Libro de Compras. Sin centro de costo en el alta y con vida útil única en meses (sin fechas de fin ni campos duplicados).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Acuerdo 21/10: el activo no nace de bodega ni de órdenes de insumos; nace de la factura de compra.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IPC Mensual y Depreciación Tributaria: </w:t>
      </w:r>
      <w:r>
        <w:rPr>
          <w:rFonts w:ascii="Segoe UI" w:hAnsi="Segoe UI"/>
          <w:color w:val="1E293B"/>
          <w:sz w:val="19"/>
        </w:rPr>
        <w:t>Revisar tabla de IPC mensual cargada y preview de cálculo de corrección monetaria y depreciación tributaria mensual.</w:t>
      </w:r>
    </w:p>
    <w:p>
      <w:pPr>
        <w:spacing w:before="20" w:after="80"/>
        <w:ind w:left="648"/>
      </w:pPr>
      <w:r>
        <w:rPr>
          <w:rFonts w:ascii="Segoe UI" w:hAnsi="Segoe UI"/>
          <w:b/>
          <w:color w:val="166534"/>
          <w:sz w:val="18"/>
        </w:rPr>
        <w:t xml:space="preserve">Acuerdo / Regla: </w:t>
      </w:r>
      <w:r>
        <w:rPr>
          <w:rFonts w:ascii="Segoe UI" w:hAnsi="Segoe UI"/>
          <w:i/>
          <w:color w:val="475569"/>
          <w:sz w:val="18"/>
        </w:rPr>
        <w:t>Ajuste automático de valor neto mes a mes sin alterar el valor histórico de adquisición.</w:t>
      </w:r>
    </w:p>
    <w:p>
      <w:pPr>
        <w:spacing w:before="320" w:after="120"/>
      </w:pPr>
      <w:r>
        <w:rPr>
          <w:rFonts w:ascii="Segoe UI" w:hAnsi="Segoe UI"/>
          <w:b/>
          <w:color w:val="1B365D"/>
          <w:sz w:val="26"/>
        </w:rPr>
        <w:t>9. Respuestas Blindadas ante Preguntas Clave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Pregunta Esperada</w:t>
            </w:r>
          </w:p>
        </w:tc>
        <w:tc>
          <w:tcPr>
            <w:tcW w:type="dxa" w:w="6624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Respuesta Técnica y de Negocio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8"/>
              </w:rPr>
              <w:t>¿Por qué las Órdenes de Venta no tienen cadena de aprobación?</w:t>
            </w:r>
          </w:p>
        </w:tc>
        <w:tc>
          <w:tcPr>
            <w:tcW w:type="dxa" w:w="662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8"/>
              </w:rPr>
              <w:t>En la sesión del 20 de agosto se acordó que la aprobación se concentra en el egreso de fondos (Compras). La Orden de Venta valida stock y costo de compra (D16) y pasa directo a facturación para no frenar despachos comerciales.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8"/>
              </w:rPr>
              <w:t>¿Dónde se crea una Cotización para Compras?</w:t>
            </w:r>
          </w:p>
        </w:tc>
        <w:tc>
          <w:tcPr>
            <w:tcW w:type="dxa" w:w="66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8"/>
              </w:rPr>
              <w:t>La cotización se simplificó como referencia informativa (número y fecha) en la Orden de Compra (D11). La OC es el documento vinculante de arranque, evitando burocracia previa.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8"/>
              </w:rPr>
              <w:t>¿Cómo se evita mezclar Proveedores con Productores?</w:t>
            </w:r>
          </w:p>
        </w:tc>
        <w:tc>
          <w:tcPr>
            <w:tcW w:type="dxa" w:w="662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8"/>
              </w:rPr>
              <w:t>Se creó el módulo exclusivo de Productores en Parametrización. Al registrarlos allí, se les asigna el rol productor y en Cuentas Corrientes se puede filtrar su listado puro para anticipos y liquidaciones.</w:t>
            </w:r>
          </w:p>
        </w:tc>
      </w:tr>
      <w:tr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8"/>
              </w:rPr>
              <w:t>¿Qué pasará con la pantalla de Pagos si la Cartola manda?</w:t>
            </w:r>
          </w:p>
        </w:tc>
        <w:tc>
          <w:tcPr>
            <w:tcW w:type="dxa" w:w="66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8"/>
              </w:rPr>
              <w:t>La Cartola ya permite imputar cuentas, centros de costo, semanas y adjuntos en cada movimiento. La pantalla de pagos se mantuvo vinculada para definir juntos en esta sesión si se apaga definitivamente o queda de consulta.</w:t>
            </w:r>
          </w:p>
        </w:tc>
      </w:tr>
      <w:tr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1E293B"/>
                <w:sz w:val="18"/>
              </w:rPr>
              <w:t>¿Por qué el Balance bloquea rangos de más de un año?</w:t>
            </w:r>
          </w:p>
        </w:tc>
        <w:tc>
          <w:tcPr>
            <w:tcW w:type="dxa" w:w="6624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color w:val="1E293B"/>
                <w:sz w:val="18"/>
              </w:rPr>
              <w:t>Por norma contable (ratificada con MJ el 22/10): las cuentas de gasto e ingreso se saldan al 31 de diciembre. Para evoluciones históricas multi-año se utiliza el Libro Mayor; el Balance opera estrictamente por ejercicio fiscal.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B365D"/>
          <w:sz w:val="26"/>
        </w:rPr>
        <w:t>10. Acuerdos de Cierre de la Sesión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Creación de Usuarios Reales: </w:t>
      </w:r>
      <w:r>
        <w:rPr>
          <w:rFonts w:ascii="Segoe UI" w:hAnsi="Segoe UI"/>
          <w:color w:val="1E293B"/>
          <w:sz w:val="19"/>
        </w:rPr>
        <w:t>Validar con MJ la nómina de usuarios reales de abastecimiento y contabilidad para crearlos en vivo en el sistema.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Cartola Real Quincenal: </w:t>
      </w:r>
      <w:r>
        <w:rPr>
          <w:rFonts w:ascii="Segoe UI" w:hAnsi="Segoe UI"/>
          <w:color w:val="1E293B"/>
          <w:sz w:val="19"/>
        </w:rPr>
        <w:t>Pedir a Lupe una cartola reciente de octubre para realizar un ejercicio guiado de carga real.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Archivo Muestra de Acepta: </w:t>
      </w:r>
      <w:r>
        <w:rPr>
          <w:rFonts w:ascii="Segoe UI" w:hAnsi="Segoe UI"/>
          <w:color w:val="1E293B"/>
          <w:sz w:val="19"/>
        </w:rPr>
        <w:t>Solicitar a Fran un export de guías de Acepta para calibrar el importador masivo.</w:t>
      </w:r>
    </w:p>
    <w:p>
      <w:pPr>
        <w:spacing w:before="60" w:after="60"/>
        <w:ind w:left="288"/>
      </w:pPr>
      <w:r>
        <w:rPr>
          <w:rFonts w:ascii="Segoe UI Symbol" w:hAnsi="Segoe UI Symbol"/>
          <w:b/>
          <w:color w:val="1B365D"/>
          <w:sz w:val="22"/>
        </w:rPr>
        <w:t xml:space="preserve">☐  </w:t>
      </w:r>
      <w:r>
        <w:rPr>
          <w:rFonts w:ascii="Segoe UI" w:hAnsi="Segoe UI"/>
          <w:b/>
          <w:color w:val="1E293B"/>
          <w:sz w:val="20"/>
        </w:rPr>
        <w:t xml:space="preserve">Minuta y Acta de Pase a Producción: </w:t>
      </w:r>
      <w:r>
        <w:rPr>
          <w:rFonts w:ascii="Segoe UI" w:hAnsi="Segoe UI"/>
          <w:color w:val="1E293B"/>
          <w:sz w:val="19"/>
        </w:rPr>
        <w:t>Tomar nota de refinamientos menores y formalizar la aceptación de los módulos contabilidad y tesorería.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