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 w:eastAsia="Calibri"/>
          <w:b/>
          <w:color w:val="2E5A3C"/>
          <w:sz w:val="20"/>
        </w:rPr>
        <w:t>TOMA DE REQUISITOS — PROYECTO ERP ALMAHUE</w:t>
      </w:r>
    </w:p>
    <w:p>
      <w:pPr>
        <w:pStyle w:val="Heading1"/>
      </w:pPr>
      <w:r>
        <w:rPr>
          <w:rFonts w:ascii="Calibri" w:hAnsi="Calibri" w:eastAsia="Calibri"/>
          <w:b/>
          <w:sz w:val="36"/>
        </w:rPr>
        <w:t>R2 — 23/07/2026 · Agrosoft + AgroSmart (MJ, Rodrigo)</w:t>
      </w:r>
    </w:p>
    <w:p>
      <w:pPr>
        <w:spacing w:after="160"/>
      </w:pPr>
      <w:r>
        <w:rPr>
          <w:rFonts w:ascii="Calibri" w:hAnsi="Calibri" w:eastAsia="Calibri"/>
          <w:b w:val="0"/>
          <w:i/>
          <w:sz w:val="22"/>
        </w:rPr>
        <w:t>Ciclo contratistas end-to-end, tesorería, libro de ventas y migración Acepta→GoSocket.</w:t>
      </w:r>
    </w:p>
    <w:p>
      <w:pPr>
        <w:spacing w:after="160"/>
      </w:pPr>
      <w:r>
        <w:rPr>
          <w:rFonts w:ascii="Calibri" w:hAnsi="Calibri" w:eastAsia="Calibri"/>
          <w:b w:val="0"/>
          <w:i/>
          <w:sz w:val="20"/>
        </w:rPr>
        <w:t>Clasificación de voces: cliente (Agustín, MJ/María José/María Jesús, Lupe, Mario, Fran, Rodrigo) = requisito o as-is. Proveedor (Carlos Vallejos, Sergio / Devint) = hipótesis o propuesta. Minutas IA = índice, no evidencia. Transcripción verbatim = fuente primaria.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Ficha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Campo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Detalle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Fuente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fuentes/transcripcion-reunion2.md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Video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fuentes/videos/reunion2-2026-07-23.mp4 · tl;dv 6a624d3f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Cliente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Rodrigo (contable agrícola) demuestra; MJ («Mari») cierra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Proveedor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Carlos Vallejos (graba)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Duración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≈ 1 h 20 min (raw ÷10)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Minuta IA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Stub 1 KB; no usar.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sz w:val="28"/>
        </w:rPr>
        <w:t>Ciclo contratistas (demostrado)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1. Contrato (tipo mano de obra, faena, fechas) → folio anotado a mano (ej. 179).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2. Enrolamiento personal + jefe de cuadrilla.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3. Control de producción diario: reingresar fecha/faena/jefe; actividad↔labor invertida (hay que saberse la actividad de memoria).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4. Precio viene del tarifario y NO se edita en el día — pero el precio real a menudo se conoce DESPUÉS del trabajo.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5. Proforma: borrador vs definitivo (el definitivo dispara el proceso sin filtro). Se envía al contratista para que facture.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6. Asociación proforma↔factura (tipo compra = contratista). Duro: UNA proforma por mes; dos meses en una factura no se asocian.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Workaround: meten todo en un mes y llevan un segundo registro fuera del sistema → distorsiona gestión mensual.</w:t>
      </w:r>
    </w:p>
    <w:p>
      <w:pPr>
        <w:spacing w:after="160"/>
        <w:ind w:left="425"/>
      </w:pPr>
      <w:r>
        <w:rPr>
          <w:rFonts w:ascii="Calibri" w:hAnsi="Calibri" w:eastAsia="Calibri"/>
          <w:b w:val="0"/>
          <w:i/>
          <w:sz w:val="22"/>
        </w:rPr>
        <w:t>«cuando empezamos a hacer las proformas… no alcanzamos a hacer una en todo un día de trabajo porque es muy largo»</w:t>
      </w:r>
      <w:r>
        <w:rPr>
          <w:rFonts w:ascii="Calibri" w:hAnsi="Calibri" w:eastAsia="Calibri"/>
          <w:b w:val="0"/>
          <w:sz w:val="20"/>
        </w:rPr>
        <w:t xml:space="preserve">  — Rodrigo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AgroSmart (referencia UX, no el ERP destino)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Evaluaron migrar por contratistas; abandonaron por contabilidad «descuadrada». Siguen con acceso. Lo que sí quieren copiar: ingreso múltiple de labores, tarifario editable en el día, y pantalla de labores no asociadas para armar la proforma (calce contra factura).</w:t>
      </w:r>
    </w:p>
    <w:p>
      <w:pPr>
        <w:spacing w:after="160"/>
        <w:ind w:left="425"/>
      </w:pPr>
      <w:r>
        <w:rPr>
          <w:rFonts w:ascii="Calibri" w:hAnsi="Calibri" w:eastAsia="Calibri"/>
          <w:b w:val="0"/>
          <w:i/>
          <w:sz w:val="22"/>
        </w:rPr>
        <w:t>«nosotros hacemos la proforma primero… ver todas las labores anotadas y decir esta, esta, esta, hago una proforma»</w:t>
      </w:r>
      <w:r>
        <w:rPr>
          <w:rFonts w:ascii="Calibri" w:hAnsi="Calibri" w:eastAsia="Calibri"/>
          <w:b w:val="0"/>
          <w:sz w:val="20"/>
        </w:rPr>
        <w:t xml:space="preserve">  — Rodrigo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Tesorería y GoSocket (as-is + intención)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Calce pago/factura; diferencia de TC en pesos vs dólares (demostrado).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MJ: la idea de GoSocket conectado al ERP es que «nos aparezca el libro de compras en línea y podamos contabilizar directo» — recepción, no solo emisión.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Facturador histórico: Acepta.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