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схему: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https://drive.google.com/file/d/1E78zaIayIgXuX4inv4J4ODmcflfYFCzr/view?usp=sharing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fj41dezgs03" w:id="0"/>
      <w:bookmarkEnd w:id="0"/>
      <w:r w:rsidDel="00000000" w:rsidR="00000000" w:rsidRPr="00000000">
        <w:rPr>
          <w:rtl w:val="0"/>
        </w:rPr>
        <w:t xml:space="preserve">Event Storming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Критерии для определения событий: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Фиксируем только события, про которые знает бизнес и в терминах которые знает бизнес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Правила задаем только в том случае, когда цепочка оказывается в подвешенном виде - то есть нет либо инициирующего актора, либо предыдущего события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Нотификация не показана на схеме - считаю ее технической.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Критерии для формирования контекста: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общем случае я бы контекст определял бы по принадлежности бизнес-пользователей - владельцев информации о событиях, операциях и т.д.(тут вижу есть некие постановщики процессов - по работе с заказами на услуги, комплектование заказов расходниками, финансовый сектор и т.д.).  Но в данном случае такие роли неизвестны - и я их представил как виртуальных “собеседников”.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 бы на диаграмме Event Storming я бы добавил агрегаты ( тут в общем духе требований, сформулированных на уроке, агрегаты на схему не добавлял) и контекст дополнительно бы определялся бы агрегатами. Тут агрегаты также являются виртуальными.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Схема: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https://viewer.diagrams.net/?page-id=ijep7U4_XeQ0FfPpVQ-H&amp;highlight=0000ff&amp;edit=_blank&amp;layers=1&amp;nav=1#G1E78zaIayIgXuX4inv4J4ODmcflfYFCzr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Картинка: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https://drive.google.com/file/d/1wmyiYBEinoummx2LedaTplrErMEMikWX/view?usp=sharing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n3o108564ivq" w:id="1"/>
      <w:bookmarkEnd w:id="1"/>
      <w:r w:rsidDel="00000000" w:rsidR="00000000" w:rsidRPr="00000000">
        <w:rPr>
          <w:rtl w:val="0"/>
        </w:rPr>
        <w:t xml:space="preserve">Модель данных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Схема: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https://viewer.diagrams.net/?page-id=JReekw00ZZjvuHovSAet&amp;highlight=0000ff&amp;edit=_blank&amp;layers=1&amp;nav=1&amp;page-id=JReekw00ZZjvuHovSAet#G1E78zaIayIgXuX4inv4J4ODmcflfYFCzr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Картинка: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https://drive.google.com/file/d/1HzPQSmYyYc3ESs9BAOsle7bEpDs_uPtD/view?usp=sharing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wjd8tutzwy6" w:id="2"/>
      <w:bookmarkEnd w:id="2"/>
      <w:r w:rsidDel="00000000" w:rsidR="00000000" w:rsidRPr="00000000">
        <w:rPr>
          <w:rtl w:val="0"/>
        </w:rPr>
        <w:t xml:space="preserve">Коммуникации системы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Схема: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https://viewer.diagrams.net/?page-id=yQwNVBoLQCFls6H9wJbg&amp;highlight=0000ff&amp;edit=_blank&amp;layers=1&amp;nav=1&amp;page-id=yQwNVBoLQCFls6H9wJbg#G1E78zaIayIgXuX4inv4J4ODmcflfYFCzr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Картинка: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https://drive.google.com/file/d/1wuaCg8tatSbZl8gFtUfV26aGlTWgdQ1M/view?usp=sharing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6oawfn4uma4" w:id="3"/>
      <w:bookmarkEnd w:id="3"/>
      <w:r w:rsidDel="00000000" w:rsidR="00000000" w:rsidRPr="00000000">
        <w:rPr>
          <w:rtl w:val="0"/>
        </w:rPr>
        <w:t xml:space="preserve">Выбор структуры системы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jphpl2vph35" w:id="4"/>
      <w:bookmarkEnd w:id="4"/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критерия с точки зрения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Монолит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Микросервисы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To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 как это новый проект (который возможно еще и не взлетит), то хотелось бы быстрее начать работу чтобы подтвердить или опровергнуть гипотезы.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требованиях производительность указана достаточно низкая и нет отдельных требований на скорость обработки данных - поэтому считаем, что производительностью в данном случае можно пренебречь.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данном случае монолит все равно быстрее за счет скорости коммуникаций и отсутствия требований к обеспечению консистентности распределенных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Микросервисная архитектура могла бы выиграть, если для каких-то задач были бы заданы достаточно жесткие требования к производительности.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этом случае выделение этого функционала в отдельные сервисы помогло реализовать их на подходящих для быстрой обработки языках, а также позволило исключить влияние смежных процессов (так как они даже с низким приоритетом использовали те же самые ресурсы).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 в данном случае таких требований нет.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Связанность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связанность.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разных функциональных модулей можно использовать единую схему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Низкая.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Требуются дополнительные решения, по обеспечению консистентности распределенных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Масштабируемость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Планы есть, но они еще не подтверждены аналитикой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Масштабируется весь монолитный компонент.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Отдельные сервисы легко масштабируются.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 как это новый проект (который возможно еще и не взлетит), то хотелось бы иметь более дешевое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Более сложное решение.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Сервисов не так много, чтобы был эффект от типизации разработки (например, применения отдельных шаблонов сервисов)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Также более сложное тестирование, особенно в части сквозных межсервисных процессов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 внедрения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Инфраструктура нужна только для самого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Дополнительно требуется  инфраструктура для организации межсервисного взаимодействия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Отчуждаемость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 со ставками достаточно сомнителен и “серый”.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Поэтому логично было бы его вынести отдельно.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данном случае выделить эти функции будет достаточно сложно - надо будет программировать (хотя бы для удаления кода), что может повлиять на связанные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данном случае достаточно будет просто выключить и удалить соответствующие сервисы.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64jkh8an9f46" w:id="5"/>
      <w:bookmarkEnd w:id="5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Я остановился на комбинированном варианте: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монолитное решение покрывает основные задачи, связанные с обработкой заказов на услуги (сам процессинг заказов, комплектование заказов расходниками, аккаунтинг и биллинг и оценкой качества)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отдельные сервисы для приема воркеров и тотализатора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Взаимодействие между компонентами - асинхронное.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Объединение функциональных модулей связанных обработкой заказов на услуги и связанных с этой обработкой задач комплектования заказов расходниками позволит: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Быстрее вывести в эксплуатацию функции, связанные с основной целью проекта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Сэкономить на разработке и эксплуатации (меньше потребности в инфраструктуре, проще тестировать межмодульное взаимодействие, меньше внешнего взаимодействия)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Вынесение отдельных сервисов позволит: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тотализатора: проще будет отказаться от данного функционала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приема воркеров: не будет оказываться влияние на основные функции (в принципе, может даже будет можно использовать какие-то готовые решения, так как реализуется достаточно типовой процесс найма)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Минусы решения: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несмотря на монолитность все равно придется делать передачу данных между компонентами  (но тут возможна реализация более простых способов асинхронного взаимодействия - так как это процессы с пониженным уровнем влияния на цели проекта и следовательно - с пониженными требованиями к надежности канала обмена)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delycpaw6mk8" w:id="6"/>
      <w:bookmarkEnd w:id="6"/>
      <w:r w:rsidDel="00000000" w:rsidR="00000000" w:rsidRPr="00000000">
        <w:rPr>
          <w:rtl w:val="0"/>
        </w:rPr>
        <w:t xml:space="preserve">Проблемы и слабые места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8895"/>
        <w:tblGridChange w:id="0">
          <w:tblGrid>
            <w:gridCol w:w="4995"/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Проблема и слабое место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 клиентской базы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услуги будут предоставляться не только котам-тестировщикам HCB, то в этом случае потребуется отдельный функциональный модуль для работы с клиентами.</w:t>
              <w:br w:type="textWrapping"/>
              <w:t xml:space="preserve">Данный функционал является побочным относительно основной задачи системы, но его реализация в монолите будет влиять на основные функции - хотя там изменений может не произойти.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финансовых алгоритмов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Потребует изменение логики связанного процесса, но так как разработка будет в монолите, то возможно влияние и на основные функции.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ewer.diagrams.net/?page-id=yQwNVBoLQCFls6H9wJbg&amp;highlight=0000ff&amp;edit=_blank&amp;layers=1&amp;nav=1&amp;page-id=yQwNVBoLQCFls6H9wJbg#G1E78zaIayIgXuX4inv4J4ODmcflfYFCzr" TargetMode="External"/><Relationship Id="rId10" Type="http://schemas.openxmlformats.org/officeDocument/2006/relationships/hyperlink" Target="https://drive.google.com/file/d/1HzPQSmYyYc3ESs9BAOsle7bEpDs_uPtD/view?usp=sharing" TargetMode="External"/><Relationship Id="rId12" Type="http://schemas.openxmlformats.org/officeDocument/2006/relationships/hyperlink" Target="https://drive.google.com/file/d/1wuaCg8tatSbZl8gFtUfV26aGlTWgdQ1M/view?usp=sharing" TargetMode="External"/><Relationship Id="rId9" Type="http://schemas.openxmlformats.org/officeDocument/2006/relationships/hyperlink" Target="https://viewer.diagrams.net/?page-id=JReekw00ZZjvuHovSAet&amp;highlight=0000ff&amp;edit=_blank&amp;layers=1&amp;nav=1&amp;page-id=JReekw00ZZjvuHovSAet#G1E78zaIayIgXuX4inv4J4ODmcflfYFCzr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78zaIayIgXuX4inv4J4ODmcflfYFCzr/view?usp=sharing" TargetMode="External"/><Relationship Id="rId7" Type="http://schemas.openxmlformats.org/officeDocument/2006/relationships/hyperlink" Target="https://viewer.diagrams.net/?page-id=ijep7U4_XeQ0FfPpVQ-H&amp;highlight=0000ff&amp;edit=_blank&amp;layers=1&amp;nav=1#G1E78zaIayIgXuX4inv4J4ODmcflfYFCzr" TargetMode="External"/><Relationship Id="rId8" Type="http://schemas.openxmlformats.org/officeDocument/2006/relationships/hyperlink" Target="https://drive.google.com/file/d/1wmyiYBEinoummx2LedaTplrErMEMikW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