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val="false"/>
          <w:bCs w:val="false"/>
          <w:i w:val="false"/>
          <w:iCs w:val="false"/>
          <w:sz w:val="24"/>
          <w:szCs w:val="24"/>
        </w:rPr>
        <w:t xml:space="preserve">ΕΛΛΗΝΙΚΗ ΔΗΜΟΚΡΑΤΙΑ
 </w:t>
      </w:r>
    </w:p>
    <w:p>
      <w:pPr>
        <w:spacing w:after="200"/>
        <w:jc w:val="center"/>
      </w:pPr>
      <w:r>
        <w:rPr>
          <w:rFonts w:ascii="Times New Roman" w:cs="Times New Roman" w:eastAsia="Times New Roman" w:hAnsi="Times New Roman"/>
          <w:b w:val="false"/>
          <w:bCs w:val="false"/>
          <w:i w:val="false"/>
          <w:iCs w:val="false"/>
          <w:sz w:val="24"/>
          <w:szCs w:val="24"/>
        </w:rPr>
        <w:t xml:space="preserve">Nov.) IS
πατρ..
 </w:t>
      </w:r>
    </w:p>
    <w:p>
      <w:pPr>
        <w:spacing w:after="200"/>
        <w:jc w:val="center"/>
      </w:pPr>
      <w:r>
        <w:rPr>
          <w:rFonts w:ascii="Times New Roman" w:cs="Times New Roman" w:eastAsia="Times New Roman" w:hAnsi="Times New Roman"/>
          <w:b w:val="false"/>
          <w:bCs w:val="false"/>
          <w:i w:val="false"/>
          <w:iCs w:val="false"/>
          <w:sz w:val="24"/>
          <w:szCs w:val="24"/>
        </w:rPr>
        <w:t xml:space="preserve">ΕΙΣΑΓΓΕΛΙΑ ΠΡΩΤΟΔΙΚΩΝ ΑΘΗΝΩΝ
 </w:t>
      </w:r>
    </w:p>
    <w:p>
      <w:pPr>
        <w:spacing w:after="200"/>
        <w:jc w:val="center"/>
      </w:pPr>
      <w:r>
        <w:rPr>
          <w:rFonts w:ascii="Times New Roman" w:cs="Times New Roman" w:eastAsia="Times New Roman" w:hAnsi="Times New Roman"/>
          <w:b w:val="false"/>
          <w:bCs w:val="false"/>
          <w:i w:val="false"/>
          <w:iCs w:val="false"/>
          <w:sz w:val="24"/>
          <w:szCs w:val="24"/>
        </w:rPr>
        <w:t xml:space="preserve">ητρ.
 </w:t>
      </w:r>
    </w:p>
    <w:p>
      <w:pPr>
        <w:spacing w:after="200"/>
        <w:jc w:val="center"/>
      </w:pPr>
      <w:r>
        <w:rPr>
          <w:rFonts w:ascii="Times New Roman" w:cs="Times New Roman" w:eastAsia="Times New Roman" w:hAnsi="Times New Roman"/>
          <w:b w:val="false"/>
          <w:bCs w:val="false"/>
          <w:i w:val="false"/>
          <w:iCs w:val="false"/>
          <w:sz w:val="24"/>
          <w:szCs w:val="24"/>
        </w:rPr>
        <w:t xml:space="preserve">L
 </w:t>
      </w:r>
    </w:p>
    <w:p>
      <w:pPr>
        <w:spacing w:after="200"/>
        <w:jc w:val="center"/>
      </w:pPr>
      <w:r>
        <w:rPr>
          <w:rFonts w:ascii="Times New Roman" w:cs="Times New Roman" w:eastAsia="Times New Roman" w:hAnsi="Times New Roman"/>
          <w:b w:val="false"/>
          <w:bCs w:val="false"/>
          <w:i w:val="false"/>
          <w:iCs w:val="false"/>
          <w:sz w:val="24"/>
          <w:szCs w:val="24"/>
        </w:rPr>
        <w:t xml:space="preserve">ερ.γ
 </w:t>
      </w:r>
    </w:p>
    <w:p>
      <w:pPr>
        <w:spacing w:after="200"/>
        <w:jc w:val="center"/>
      </w:pPr>
      <w:r>
        <w:rPr>
          <w:rFonts w:ascii="Times New Roman" w:cs="Times New Roman" w:eastAsia="Times New Roman" w:hAnsi="Times New Roman"/>
          <w:b w:val="false"/>
          <w:bCs w:val="false"/>
          <w:i w:val="false"/>
          <w:iCs w:val="false"/>
          <w:sz w:val="24"/>
          <w:szCs w:val="24"/>
        </w:rPr>
        <w:t xml:space="preserve">ABM: AE2024/3420
 </w:t>
      </w:r>
    </w:p>
    <w:p>
      <w:pPr>
        <w:spacing w:after="200"/>
        <w:jc w:val="center"/>
      </w:pPr>
      <w:r>
        <w:rPr>
          <w:rFonts w:ascii="Times New Roman" w:cs="Times New Roman" w:eastAsia="Times New Roman" w:hAnsi="Times New Roman"/>
          <w:b w:val="false"/>
          <w:bCs w:val="false"/>
          <w:i w:val="false"/>
          <w:iCs w:val="false"/>
          <w:sz w:val="24"/>
          <w:szCs w:val="24"/>
        </w:rPr>
        <w:t xml:space="preserve">πος
 </w:t>
      </w:r>
    </w:p>
    <w:p>
      <w:pPr>
        <w:spacing w:after="200"/>
        <w:jc w:val="center"/>
      </w:pPr>
      <w:r>
        <w:rPr>
          <w:rFonts w:ascii="Times New Roman" w:cs="Times New Roman" w:eastAsia="Times New Roman" w:hAnsi="Times New Roman"/>
          <w:b w:val="false"/>
          <w:bCs w:val="false"/>
          <w:i w:val="false"/>
          <w:iCs w:val="false"/>
          <w:sz w:val="24"/>
          <w:szCs w:val="24"/>
        </w:rPr>
        <w:t xml:space="preserve">Πιθανός Χρόνος Τέλεσης Αδικημάτων: 01.08.2023
 </w:t>
      </w:r>
    </w:p>
    <w:p>
      <w:pPr>
        <w:spacing w:after="200"/>
        <w:jc w:val="center"/>
      </w:pPr>
      <w:r>
        <w:rPr>
          <w:rFonts w:ascii="Times New Roman" w:cs="Times New Roman" w:eastAsia="Times New Roman" w:hAnsi="Times New Roman"/>
          <w:b w:val="false"/>
          <w:bCs w:val="false"/>
          <w:i w:val="false"/>
          <w:iCs w:val="false"/>
          <w:sz w:val="24"/>
          <w:szCs w:val="24"/>
        </w:rPr>
        <w:t xml:space="preserve">ση
 </w:t>
      </w:r>
    </w:p>
    <w:p>
      <w:pPr>
        <w:spacing w:after="200"/>
        <w:jc w:val="center"/>
      </w:pPr>
      <w:r>
        <w:rPr>
          <w:rFonts w:ascii="Times New Roman" w:cs="Times New Roman" w:eastAsia="Times New Roman" w:hAnsi="Times New Roman"/>
          <w:b w:val="false"/>
          <w:bCs w:val="false"/>
          <w:i w:val="false"/>
          <w:iCs w:val="false"/>
          <w:sz w:val="24"/>
          <w:szCs w:val="24"/>
        </w:rPr>
        <w:t xml:space="preserve">- 69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ΚΑΤΗΓΟΡΗΤΗΡΙΟ
 </w:t>
      </w:r>
    </w:p>
    <w:p>
      <w:pPr>
        <w:spacing w:after="200"/>
        <w:jc w:val="center"/>
      </w:pPr>
      <w:r>
        <w:rPr>
          <w:rFonts w:ascii="Times New Roman" w:cs="Times New Roman" w:eastAsia="Times New Roman" w:hAnsi="Times New Roman"/>
          <w:b w:val="false"/>
          <w:bCs w:val="false"/>
          <w:i w:val="false"/>
          <w:iCs w:val="false"/>
          <w:sz w:val="24"/>
          <w:szCs w:val="24"/>
        </w:rPr>
        <w:t xml:space="preserve">.Μ.
 </w:t>
      </w:r>
    </w:p>
    <w:p>
      <w:pPr>
        <w:spacing w:after="200"/>
        <w:jc w:val="center"/>
      </w:pPr>
      <w:r>
        <w:rPr>
          <w:rFonts w:ascii="Times New Roman" w:cs="Times New Roman" w:eastAsia="Times New Roman" w:hAnsi="Times New Roman"/>
          <w:b w:val="false"/>
          <w:bCs w:val="false"/>
          <w:i w:val="false"/>
          <w:iCs w:val="false"/>
          <w:sz w:val="24"/>
          <w:szCs w:val="24"/>
        </w:rPr>
        <w:t xml:space="preserve">Y.;
 </w:t>
      </w:r>
    </w:p>
    <w:p>
      <w:pPr>
        <w:spacing w:after="200"/>
        <w:jc w:val="center"/>
      </w:pPr>
      <w:r>
        <w:rPr>
          <w:rFonts w:ascii="Times New Roman" w:cs="Times New Roman" w:eastAsia="Times New Roman" w:hAnsi="Times New Roman"/>
          <w:b w:val="false"/>
          <w:bCs w:val="false"/>
          <w:i w:val="false"/>
          <w:iCs w:val="false"/>
          <w:sz w:val="24"/>
          <w:szCs w:val="24"/>
        </w:rPr>
        <w:t xml:space="preserve">ΙΑ:
 </w:t>
      </w:r>
    </w:p>
    <w:p>
      <w:pPr>
        <w:spacing w:after="200"/>
        <w:jc w:val="center"/>
      </w:pPr>
      <w:r>
        <w:rPr>
          <w:rFonts w:ascii="Times New Roman" w:cs="Times New Roman" w:eastAsia="Times New Roman" w:hAnsi="Times New Roman"/>
          <w:b w:val="false"/>
          <w:bCs w:val="false"/>
          <w:i w:val="false"/>
          <w:iCs w:val="false"/>
          <w:sz w:val="24"/>
          <w:szCs w:val="24"/>
        </w:rPr>
        <w:t xml:space="preserve">ΠΡΑΞΕΙΣ
 </w:t>
      </w:r>
    </w:p>
    <w:p>
      <w:pPr>
        <w:spacing w:after="200"/>
        <w:jc w:val="center"/>
      </w:pPr>
      <w:r>
        <w:rPr>
          <w:rFonts w:ascii="Times New Roman" w:cs="Times New Roman" w:eastAsia="Times New Roman" w:hAnsi="Times New Roman"/>
          <w:b w:val="false"/>
          <w:bCs w:val="false"/>
          <w:i w:val="false"/>
          <w:iCs w:val="false"/>
          <w:sz w:val="24"/>
          <w:szCs w:val="24"/>
        </w:rPr>
        <w:t xml:space="preserve">1. Ενδοοικογενειακή παράνομη βία (άρθρο 330 Π.Κ. 7 παρ. 1α Ν. 3500/2006)
2. Αυτοδικία (331 ΠΚ)
 </w:t>
      </w:r>
    </w:p>
    <w:p>
      <w:pPr>
        <w:spacing w:after="200"/>
        <w:jc w:val="center"/>
      </w:pPr>
      <w:r>
        <w:rPr>
          <w:rFonts w:ascii="Times New Roman" w:cs="Times New Roman" w:eastAsia="Times New Roman" w:hAnsi="Times New Roman"/>
          <w:b w:val="false"/>
          <w:bCs w:val="false"/>
          <w:i w:val="false"/>
          <w:iCs w:val="false"/>
          <w:sz w:val="24"/>
          <w:szCs w:val="24"/>
        </w:rPr>
        <w:t xml:space="preserve">B
 </w:t>
      </w:r>
    </w:p>
    <w:p>
      <w:pPr>
        <w:spacing w:after="200"/>
        <w:jc w:val="center"/>
      </w:pPr>
      <w:r>
        <w:rPr>
          <w:rFonts w:ascii="Times New Roman" w:cs="Times New Roman" w:eastAsia="Times New Roman" w:hAnsi="Times New Roman"/>
          <w:b w:val="false"/>
          <w:bCs w:val="false"/>
          <w:i w:val="false"/>
          <w:iCs w:val="false"/>
          <w:sz w:val="24"/>
          <w:szCs w:val="24"/>
        </w:rPr>
        <w:t xml:space="preserve">ε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ΚΑΤΗΓΟΡΟΥΜΕΝΟΣ
 </w:t>
      </w:r>
    </w:p>
    <w:p>
      <w:pPr>
        <w:spacing w:after="200"/>
        <w:jc w:val="center"/>
      </w:pPr>
      <w:r>
        <w:rPr>
          <w:rFonts w:ascii="Times New Roman" w:cs="Times New Roman" w:eastAsia="Times New Roman" w:hAnsi="Times New Roman"/>
          <w:b w:val="false"/>
          <w:bCs w:val="false"/>
          <w:i w:val="false"/>
          <w:iCs w:val="false"/>
          <w:sz w:val="24"/>
          <w:szCs w:val="24"/>
        </w:rPr>
        <w:t xml:space="preserve">Ιωάννης Μιχελής του Χαραλάμπους και της Αικατερίνης, κάτοικος Βριλησσίων Αττικής,
οδός Γράμμου αριθμός 93.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Κατηγορείται ως υπαίτιος του ότι στο Βριλησσίων Αττικής, οδός Γράμμου αριθμός 93 την
01.08.2023, με περισσότερες πράξεις τέλεσε περισσότερα εγκλήματα που τιμωρούνται κατά
το νόμο με πρόσκαιρες στερητικές της ελευθερίας ποινές και ειδικότερα:
 </w:t>
      </w:r>
    </w:p>
    <w:p>
      <w:pPr>
        <w:spacing w:after="200"/>
        <w:jc w:val="center"/>
      </w:pPr>
      <w:r>
        <w:rPr>
          <w:rFonts w:ascii="Times New Roman" w:cs="Times New Roman" w:eastAsia="Times New Roman" w:hAnsi="Times New Roman"/>
          <w:b w:val="false"/>
          <w:bCs w:val="false"/>
          <w:i w:val="false"/>
          <w:iCs w:val="false"/>
          <w:sz w:val="24"/>
          <w:szCs w:val="24"/>
        </w:rPr>
        <w:t xml:space="preserve">1. Ενεργώντας με πρόθεση εξανάγκασε άλλο μέλος της οικογένειας χρησιμοποιώντας κάθε
μορφή βίας ή απειλή με σπουδαίο και άμεσο κίνδυνο σε πράξη, παράλειψη ή ανοχή χωρίς το
θύμα να υποχρεούται προς τούτο. Συγκεκριμένα, στον προαναφερόμενο τόπο και χρόνο, όταν
η εγκαλούσα – σύζυγός του, Χριστίνα ΤΣΟΥΚΑΛΗ του Παναγιώτη και της Αναστασίας,
επιστρέφοντας μαζί με τον υιό τους, Χαράλαμπο Μιχελή, από το Σιδηρόκαστρο Σερρών, όπου
είχαν μεταβεί για να επισκεφτούν συγγενείς τους, κατόπιν πρότασης της κοινωνικής
λειτουργού, Χρυσάνθης Κουρτέλη, ο κατηγορούμενος είχε αλλάξει την κλειδαριά της ως άνω
οικίας τους και δεν επέτρεπε στην εγκαλούσε την είσοδο εντός αυτής, παρά μόνο στον
προαναφρθέντα υιό τους
, όπως την ενημέρωσε τηλεφωνικά.
 </w:t>
      </w:r>
    </w:p>
    <w:p>
      <w:pPr>
        <w:spacing w:after="200"/>
        <w:jc w:val="center"/>
      </w:pPr>
      <w:r>
        <w:rPr>
          <w:rFonts w:ascii="Times New Roman" w:cs="Times New Roman" w:eastAsia="Times New Roman" w:hAnsi="Times New Roman"/>
          <w:b w:val="false"/>
          <w:bCs w:val="false"/>
          <w:i w:val="false"/>
          <w:iCs w:val="false"/>
          <w:sz w:val="24"/>
          <w:szCs w:val="24"/>
        </w:rPr>
        <w:t xml:space="preserve">ΙΙ. Ενεργώντας με πρόθεση άσκησε αυθαίρετα αξίωση σχετική με δικαίωμα που ή το έχει
πραγματικά ή από 
πεποίθηση το οικειοποιείται. Συγκεκριμένα, στον προαναφερόμενο τόπο
και χρόνο, θεώρησε ότι 
με την από 11.07.2023, απόφαση της Εισαγγελέας Ανηλίκων, είχε το
δικαίωμα να 
απαγορεύσει την είσοδο στην προαναφερθείσα εγκαλούσα, όπως διαλαμβάνεται
αναλυτικά στο υπό στοιχεία 1 κεφάλαιο 
του παρόντος.
 </w:t>
      </w:r>
    </w:p>
    <w:p>
      <w:pPr>
        <w:spacing w:after="200"/>
        <w:jc w:val="center"/>
      </w:pPr>
      <w:r>
        <w:rPr>
          <w:rFonts w:ascii="Times New Roman" w:cs="Times New Roman" w:eastAsia="Times New Roman" w:hAnsi="Times New Roman"/>
          <w:b w:val="false"/>
          <w:bCs w:val="false"/>
          <w:i w:val="false"/>
          <w:iCs w:val="false"/>
          <w:sz w:val="24"/>
          <w:szCs w:val="24"/>
        </w:rPr>
        <w:t xml:space="preserve">Η πράξη αυτή προβλέπεται και τιμωρείται από τα
 </w:t>
      </w:r>
    </w:p>
    <w:p>
      <w:pPr>
        <w:spacing w:after="200"/>
        <w:jc w:val="center"/>
      </w:pPr>
      <w:r>
        <w:rPr>
          <w:rFonts w:ascii="Times New Roman" w:cs="Times New Roman" w:eastAsia="Times New Roman" w:hAnsi="Times New Roman"/>
          <w:b w:val="false"/>
          <w:bCs w:val="false"/>
          <w:i w:val="false"/>
          <w:iCs w:val="false"/>
          <w:sz w:val="24"/>
          <w:szCs w:val="24"/>
        </w:rPr>
        <w:t xml:space="preserve">Άρθρα: 1, 2, 12, 14, 16, 17, 18, 26 παρ. 1 εδ. α', 27 παρ. 1, 51, 53, 57, 79, 80, 94, 330. 331
Π.Κ. σε συνδ. με τα άρθρα 1 παρ. 1
, 2 περ. γ', 2, 7 παρ. 1α Ν. 3500/2006.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2026-01-02T12:27:49.356Z</dcterms:created>
  <dcterms:modified xsi:type="dcterms:W3CDTF">2026-01-02T12:27:49.356Z</dcterms:modified>
</cp:coreProperties>
</file>

<file path=docProps/custom.xml><?xml version="1.0" encoding="utf-8"?>
<Properties xmlns="http://schemas.openxmlformats.org/officeDocument/2006/custom-properties" xmlns:vt="http://schemas.openxmlformats.org/officeDocument/2006/docPropsVTypes"/>
</file>