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Nov.) IS
πατρ..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ητρ.
 </w:t>
      </w:r>
    </w:p>
    <w:p>
      <w:pPr>
        <w:spacing w:after="200"/>
        <w:jc w:val="center"/>
      </w:pPr>
      <w:r>
        <w:rPr>
          <w:rFonts w:ascii="Times New Roman" w:cs="Times New Roman" w:eastAsia="Times New Roman" w:hAnsi="Times New Roman"/>
          <w:b w:val="false"/>
          <w:bCs w:val="false"/>
          <w:i w:val="false"/>
          <w:iCs w:val="false"/>
          <w:sz w:val="24"/>
          <w:szCs w:val="24"/>
        </w:rPr>
        <w:t xml:space="preserve">L
 </w:t>
      </w:r>
    </w:p>
    <w:p>
      <w:pPr>
        <w:spacing w:after="200"/>
        <w:jc w:val="center"/>
      </w:pPr>
      <w:r>
        <w:rPr>
          <w:rFonts w:ascii="Times New Roman" w:cs="Times New Roman" w:eastAsia="Times New Roman" w:hAnsi="Times New Roman"/>
          <w:b w:val="false"/>
          <w:bCs w:val="false"/>
          <w:i w:val="false"/>
          <w:iCs w:val="false"/>
          <w:sz w:val="24"/>
          <w:szCs w:val="24"/>
        </w:rPr>
        <w:t xml:space="preserve">ερ.γ
 </w:t>
      </w:r>
    </w:p>
    <w:p>
      <w:pPr>
        <w:spacing w:after="200"/>
        <w:jc w:val="center"/>
      </w:pPr>
      <w:r>
        <w:rPr>
          <w:rFonts w:ascii="Times New Roman" w:cs="Times New Roman" w:eastAsia="Times New Roman" w:hAnsi="Times New Roman"/>
          <w:b w:val="false"/>
          <w:bCs w:val="false"/>
          <w:i w:val="false"/>
          <w:iCs w:val="false"/>
          <w:sz w:val="24"/>
          <w:szCs w:val="24"/>
        </w:rPr>
        <w:t xml:space="preserve">ABM: AE2024/3420
 </w:t>
      </w:r>
    </w:p>
    <w:p>
      <w:pPr>
        <w:spacing w:after="200"/>
        <w:jc w:val="center"/>
      </w:pPr>
      <w:r>
        <w:rPr>
          <w:rFonts w:ascii="Times New Roman" w:cs="Times New Roman" w:eastAsia="Times New Roman" w:hAnsi="Times New Roman"/>
          <w:b w:val="false"/>
          <w:bCs w:val="false"/>
          <w:i w:val="false"/>
          <w:iCs w:val="false"/>
          <w:sz w:val="24"/>
          <w:szCs w:val="24"/>
        </w:rPr>
        <w:t xml:space="preserve">πος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01.08.2023
 </w:t>
      </w:r>
    </w:p>
    <w:p>
      <w:pPr>
        <w:spacing w:after="200"/>
        <w:jc w:val="center"/>
      </w:pPr>
      <w:r>
        <w:rPr>
          <w:rFonts w:ascii="Times New Roman" w:cs="Times New Roman" w:eastAsia="Times New Roman" w:hAnsi="Times New Roman"/>
          <w:b w:val="false"/>
          <w:bCs w:val="false"/>
          <w:i w:val="false"/>
          <w:iCs w:val="false"/>
          <w:sz w:val="24"/>
          <w:szCs w:val="24"/>
        </w:rPr>
        <w:t xml:space="preserve">ση
 </w:t>
      </w:r>
    </w:p>
    <w:p>
      <w:pPr>
        <w:spacing w:after="200"/>
        <w:jc w:val="center"/>
      </w:pPr>
      <w:r>
        <w:rPr>
          <w:rFonts w:ascii="Times New Roman" w:cs="Times New Roman" w:eastAsia="Times New Roman" w:hAnsi="Times New Roman"/>
          <w:b w:val="false"/>
          <w:bCs w:val="false"/>
          <w:i w:val="false"/>
          <w:iCs w:val="false"/>
          <w:sz w:val="24"/>
          <w:szCs w:val="24"/>
        </w:rPr>
        <w:t xml:space="preserve">- 69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.Μ.
 </w:t>
      </w:r>
    </w:p>
    <w:p>
      <w:pPr>
        <w:spacing w:after="200"/>
        <w:jc w:val="center"/>
      </w:pPr>
      <w:r>
        <w:rPr>
          <w:rFonts w:ascii="Times New Roman" w:cs="Times New Roman" w:eastAsia="Times New Roman" w:hAnsi="Times New Roman"/>
          <w:b w:val="false"/>
          <w:bCs w:val="false"/>
          <w:i w:val="false"/>
          <w:iCs w:val="false"/>
          <w:sz w:val="24"/>
          <w:szCs w:val="24"/>
        </w:rPr>
        <w:t xml:space="preserve">Y.;
 </w:t>
      </w:r>
    </w:p>
    <w:p>
      <w:pPr>
        <w:spacing w:after="200"/>
        <w:jc w:val="center"/>
      </w:pPr>
      <w:r>
        <w:rPr>
          <w:rFonts w:ascii="Times New Roman" w:cs="Times New Roman" w:eastAsia="Times New Roman" w:hAnsi="Times New Roman"/>
          <w:b w:val="false"/>
          <w:bCs w:val="false"/>
          <w:i w:val="false"/>
          <w:iCs w:val="false"/>
          <w:sz w:val="24"/>
          <w:szCs w:val="24"/>
        </w:rPr>
        <w:t xml:space="preserve">ΙΑ: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Ενδοοικογενειακή παράνομη βία (άρθρο 330 Π.Κ. 7 παρ. 1α Ν. 3500/2006)
2. Αυτοδικία (331 ΠΚ)
 </w:t>
      </w:r>
    </w:p>
    <w:p>
      <w:pPr>
        <w:spacing w:after="200"/>
        <w:jc w:val="center"/>
      </w:pPr>
      <w:r>
        <w:rPr>
          <w:rFonts w:ascii="Times New Roman" w:cs="Times New Roman" w:eastAsia="Times New Roman" w:hAnsi="Times New Roman"/>
          <w:b w:val="false"/>
          <w:bCs w:val="false"/>
          <w:i w:val="false"/>
          <w:iCs w:val="false"/>
          <w:sz w:val="24"/>
          <w:szCs w:val="24"/>
        </w:rPr>
        <w:t xml:space="preserve">B
 </w:t>
      </w:r>
    </w:p>
    <w:p>
      <w:pPr>
        <w:spacing w:after="200"/>
        <w:jc w:val="center"/>
      </w:pPr>
      <w:r>
        <w:rPr>
          <w:rFonts w:ascii="Times New Roman" w:cs="Times New Roman" w:eastAsia="Times New Roman" w:hAnsi="Times New Roman"/>
          <w:b w:val="false"/>
          <w:bCs w:val="false"/>
          <w:i w:val="false"/>
          <w:iCs w:val="false"/>
          <w:sz w:val="24"/>
          <w:szCs w:val="24"/>
        </w:rPr>
        <w:t xml:space="preserve">ε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Ιωάννης Μιχελής του Χαραλάμπους και της Αικατερίνης, κάτοικος Βριλησσίων Αττικής,
οδός Γράμμου αριθμός 93.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Βριλησσίων Αττικής, οδός Γράμμου αριθμός 93 την
01.08.2023,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εξανάγκασε άλλο μέλος της οικογένειας χρησιμοποιώντας κάθε
μορφή βίας ή απειλή με σπουδαίο και άμεσο κίνδυνο σε πράξη, παράλειψη ή ανοχή χωρίς το
θύμα να υποχρεούται προς τούτο. Συγκεκριμένα, στον προαναφερόμενο τόπο και χρόνο, όταν
η εγκαλούσα – σύζυγός του, Χριστίνα ΤΣΟΥΚΑΛΗ του Παναγιώτη και της Αναστασίας,
επιστρέφοντας μαζί με τον υιό τους, Χαράλαμπο Μιχελή, από το Σιδηρόκαστρο Σερρών, όπου
είχαν μεταβεί για να επισκεφτούν συγγενείς τους, κατόπιν πρότασης της κοινωνικής
λειτουργού, Χρυσάνθης Κουρτέλη, ο κατηγορούμενος είχε αλλάξει την κλειδαριά της ως άνω
οικίας τους και δεν επέτρεπε στην εγκαλούσε την είσοδο εντός αυτής, παρά μόνο στον
προαναφρθέντα υιό τους
, όπως την ενημέρωσε τηλεφωνικά.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άσκησε αυθαίρετα αξίωση σχετική με δικαίωμα που ή το έχει
πραγματικά ή από 
πεποίθηση το οικειοποιείται. Συγκεκριμένα, στον προαναφερόμενο τόπο
και χρόνο, θεώρησε ότι 
με την από 11.07.2023, απόφαση της Εισαγγελέας Ανηλίκων, είχε το
δικαίωμα να 
απαγορεύσει την είσοδο στην προαναφερθείσα εγκαλούσα, όπως διαλαμβάνεται
αναλυτικά στο υπό στοιχεία 1 κεφάλαιο 
του παρόντος.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330. 331
Π.Κ. σε συνδ. με τα άρθρα 1 παρ. 1
, 2 περ. γ', 2, 7 παρ. 1α Ν. 3500/2006.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2026-01-02T12:39:31.219Z</dcterms:created>
  <dcterms:modified xsi:type="dcterms:W3CDTF">2026-01-02T12:39:31.219Z</dcterms:modified>
</cp:coreProperties>
</file>

<file path=docProps/custom.xml><?xml version="1.0" encoding="utf-8"?>
<Properties xmlns="http://schemas.openxmlformats.org/officeDocument/2006/custom-properties" xmlns:vt="http://schemas.openxmlformats.org/officeDocument/2006/docPropsVTypes"/>
</file>