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Times New Roman" w:cs="Times New Roman" w:eastAsia="Times New Roman" w:hAnsi="Times New Roman"/>
          <w:b/>
          <w:bCs/>
          <w:sz w:val="40"/>
          <w:szCs w:val="40"/>
        </w:rPr>
        <w:t xml:space="preserve">CODE CIVIL D’HAÏTI</w:t>
      </w:r>
    </w:p>
    <w:p>
      <w:pPr>
        <w:spacing w:after="240"/>
        <w:jc w:val="center"/>
      </w:pPr>
      <w:r>
        <w:rPr>
          <w:rFonts w:ascii="Times New Roman" w:cs="Times New Roman" w:eastAsia="Times New Roman" w:hAnsi="Times New Roman"/>
          <w:b/>
          <w:bCs/>
          <w:i w:val="false"/>
          <w:iCs w:val="false"/>
          <w:sz w:val="30"/>
          <w:szCs w:val="30"/>
        </w:rPr>
        <w:t xml:space="preserve">Relevé analytique des délais en matière de procédure</w:t>
      </w:r>
    </w:p>
    <w:p>
      <w:pPr>
        <w:spacing w:after="120"/>
        <w:jc w:val="center"/>
      </w:pPr>
      <w:r>
        <w:rPr>
          <w:rFonts w:ascii="Times New Roman" w:cs="Times New Roman" w:eastAsia="Times New Roman" w:hAnsi="Times New Roman"/>
          <w:b w:val="false"/>
          <w:bCs w:val="false"/>
          <w:i/>
          <w:iCs/>
          <w:sz w:val="24"/>
          <w:szCs w:val="24"/>
        </w:rPr>
        <w:t xml:space="preserve">Extraction systématique — Pipeline Lam</w:t>
      </w:r>
    </w:p>
    <w:p>
      <w:pPr>
        <w:spacing w:after="120"/>
        <w:jc w:val="center"/>
      </w:pPr>
      <w:r>
        <w:rPr>
          <w:rFonts w:ascii="Times New Roman" w:cs="Times New Roman" w:eastAsia="Times New Roman" w:hAnsi="Times New Roman"/>
          <w:b w:val="false"/>
          <w:bCs w:val="false"/>
          <w:i w:val="false"/>
          <w:iCs w:val="false"/>
          <w:sz w:val="22"/>
          <w:szCs w:val="22"/>
        </w:rPr>
        <w:t xml:space="preserve">Source : Code_civil_Clean.docx (édition annotée, jurisprudence de la Cour de cassation et lois annexées)</w:t>
      </w:r>
    </w:p>
    <w:p>
      <w:pPr>
        <w:spacing w:after="120"/>
        <w:jc w:val="center"/>
      </w:pPr>
      <w:r>
        <w:rPr>
          <w:rFonts w:ascii="Times New Roman" w:cs="Times New Roman" w:eastAsia="Times New Roman" w:hAnsi="Times New Roman"/>
          <w:b w:val="false"/>
          <w:bCs w:val="false"/>
          <w:i w:val="false"/>
          <w:iCs w:val="false"/>
          <w:sz w:val="22"/>
          <w:szCs w:val="22"/>
        </w:rPr>
        <w:t xml:space="preserve">Août 2026</w:t>
      </w:r>
    </w:p>
    <w:p>
      <w:pPr>
        <w:pageBreakBefore/>
      </w:pPr>
    </w:p>
    <w:p>
      <w:pPr>
        <w:pStyle w:val="Heading1"/>
        <w:spacing w:after="160" w:before="320"/>
      </w:pPr>
      <w:r>
        <w:rPr>
          <w:rFonts w:ascii="Times New Roman" w:cs="Times New Roman" w:eastAsia="Times New Roman" w:hAnsi="Times New Roman"/>
          <w:b/>
          <w:bCs/>
          <w:color w:val="1C1B3A"/>
          <w:sz w:val="28"/>
          <w:szCs w:val="28"/>
        </w:rPr>
        <w:t xml:space="preserve">Note méthodologique</w:t>
      </w:r>
    </w:p>
    <w:p>
      <w:pPr>
        <w:spacing w:after="120"/>
        <w:jc w:val="both"/>
      </w:pPr>
      <w:r>
        <w:rPr>
          <w:rFonts w:ascii="Times New Roman" w:cs="Times New Roman" w:eastAsia="Times New Roman" w:hAnsi="Times New Roman"/>
          <w:b w:val="false"/>
          <w:bCs w:val="false"/>
          <w:i w:val="false"/>
          <w:iCs w:val="false"/>
          <w:sz w:val="24"/>
          <w:szCs w:val="24"/>
        </w:rPr>
        <w:t xml:space="preserve">Le présent relevé recense les délais à incidence procédurale contenus dans le Code civil d’Haïti (texte principal, lois modificatives et lois annexées reproduites dans l’édition), à l’exclusion des simples durées substantielles sans effet processuel direct. Chaque délai est rattaché à sa base textuelle, avec indication du point de départ (dies a quo) lorsque le texte ou la jurisprudence le précise.</w:t>
      </w:r>
    </w:p>
    <w:p>
      <w:pPr>
        <w:pStyle w:val="Heading2"/>
        <w:spacing w:after="140" w:before="280"/>
      </w:pPr>
      <w:r>
        <w:rPr>
          <w:rFonts w:ascii="Times New Roman" w:cs="Times New Roman" w:eastAsia="Times New Roman" w:hAnsi="Times New Roman"/>
          <w:b/>
          <w:bCs/>
          <w:color w:val="1C1B3A"/>
          <w:sz w:val="26"/>
          <w:szCs w:val="26"/>
        </w:rPr>
        <w:t xml:space="preserve">Règles de computation applicables</w:t>
      </w:r>
    </w:p>
    <w:p>
      <w:pPr>
        <w:spacing w:after="120"/>
        <w:jc w:val="both"/>
      </w:pPr>
      <w:r>
        <w:rPr>
          <w:rFonts w:ascii="Times New Roman" w:cs="Times New Roman" w:eastAsia="Times New Roman" w:hAnsi="Times New Roman"/>
          <w:b/>
          <w:bCs/>
          <w:i w:val="false"/>
          <w:iCs w:val="false"/>
          <w:sz w:val="24"/>
          <w:szCs w:val="24"/>
        </w:rPr>
        <w:t xml:space="preserve">Jours francs. </w:t>
      </w:r>
      <w:r>
        <w:rPr>
          <w:rFonts w:ascii="Times New Roman" w:cs="Times New Roman" w:eastAsia="Times New Roman" w:hAnsi="Times New Roman"/>
          <w:b w:val="false"/>
          <w:bCs w:val="false"/>
          <w:i w:val="false"/>
          <w:iCs w:val="false"/>
          <w:sz w:val="24"/>
          <w:szCs w:val="24"/>
        </w:rPr>
        <w:t xml:space="preserve">Lorsque le texte qualifie le délai de « franc », ni le dies a quo ni le dies ad quem ne sont comptés (ex. : huitaine franche de l’art. 229 ; trois jours francs des lois sur les loyers et sur la pension alimentaire ; trente jours francs en matière d’adoption).</w:t>
      </w:r>
    </w:p>
    <w:p>
      <w:pPr>
        <w:spacing w:after="120"/>
        <w:jc w:val="both"/>
      </w:pPr>
      <w:r>
        <w:rPr>
          <w:rFonts w:ascii="Times New Roman" w:cs="Times New Roman" w:eastAsia="Times New Roman" w:hAnsi="Times New Roman"/>
          <w:b/>
          <w:bCs/>
          <w:i w:val="false"/>
          <w:iCs w:val="false"/>
          <w:sz w:val="24"/>
          <w:szCs w:val="24"/>
        </w:rPr>
        <w:t xml:space="preserve">Délais en matière de travail. </w:t>
      </w:r>
      <w:r>
        <w:rPr>
          <w:rFonts w:ascii="Times New Roman" w:cs="Times New Roman" w:eastAsia="Times New Roman" w:hAnsi="Times New Roman"/>
          <w:b w:val="false"/>
          <w:bCs w:val="false"/>
          <w:i w:val="false"/>
          <w:iCs w:val="false"/>
          <w:sz w:val="24"/>
          <w:szCs w:val="24"/>
        </w:rPr>
        <w:t xml:space="preserve">Conformément à la pratique signalée par l’utilisatrice : les délais en matière de travail se computent en jours francs, la journée utile s’étendant de 6 heures a.m. à 4 heures p.m. (16 h). Cette règle est propre au contentieux du travail et ne figure pas dans le Code civil ; elle est rappelée ici pour mémoire et pour harmonisation du référentiel Lam.</w:t>
      </w:r>
    </w:p>
    <w:p>
      <w:pPr>
        <w:spacing w:after="120"/>
        <w:jc w:val="both"/>
      </w:pPr>
      <w:r>
        <w:rPr>
          <w:rFonts w:ascii="Times New Roman" w:cs="Times New Roman" w:eastAsia="Times New Roman" w:hAnsi="Times New Roman"/>
          <w:b/>
          <w:bCs/>
          <w:i w:val="false"/>
          <w:iCs w:val="false"/>
          <w:sz w:val="24"/>
          <w:szCs w:val="24"/>
        </w:rPr>
        <w:t xml:space="preserve">Délai de distance. </w:t>
      </w:r>
      <w:r>
        <w:rPr>
          <w:rFonts w:ascii="Times New Roman" w:cs="Times New Roman" w:eastAsia="Times New Roman" w:hAnsi="Times New Roman"/>
          <w:b w:val="false"/>
          <w:bCs w:val="false"/>
          <w:i w:val="false"/>
          <w:iCs w:val="false"/>
          <w:sz w:val="24"/>
          <w:szCs w:val="24"/>
        </w:rPr>
        <w:t xml:space="preserve">Le Code augmente plusieurs délais d’un jour par cinq lieues de distance entre le domicile de l’intéressé et le lieu de l’acte (arts. 338, 353, 1827, 1952 ; renvoi général C. p. c. 954). Le défendeur en jouit de plein droit sans que le demandeur ait à le lui indiquer (Cass., 21 juillet 1924).</w:t>
      </w:r>
    </w:p>
    <w:p>
      <w:pPr>
        <w:spacing w:after="120"/>
        <w:jc w:val="both"/>
      </w:pPr>
      <w:r>
        <w:rPr>
          <w:rFonts w:ascii="Times New Roman" w:cs="Times New Roman" w:eastAsia="Times New Roman" w:hAnsi="Times New Roman"/>
          <w:b/>
          <w:bCs/>
          <w:i w:val="false"/>
          <w:iCs w:val="false"/>
          <w:sz w:val="24"/>
          <w:szCs w:val="24"/>
        </w:rPr>
        <w:t xml:space="preserve">Délais de mois. </w:t>
      </w:r>
      <w:r>
        <w:rPr>
          <w:rFonts w:ascii="Times New Roman" w:cs="Times New Roman" w:eastAsia="Times New Roman" w:hAnsi="Times New Roman"/>
          <w:b w:val="false"/>
          <w:bCs w:val="false"/>
          <w:i w:val="false"/>
          <w:iCs w:val="false"/>
          <w:sz w:val="24"/>
          <w:szCs w:val="24"/>
        </w:rPr>
        <w:t xml:space="preserve">Toutes les fois que le mot « mois » est employé, les délais se comptent de quantième à quantième ; le jour de l’échéance est compris dans le mois (Cass., note sous art. 1950).</w:t>
      </w:r>
    </w:p>
    <w:p>
      <w:pPr>
        <w:spacing w:after="120"/>
        <w:jc w:val="both"/>
      </w:pPr>
      <w:r>
        <w:rPr>
          <w:rFonts w:ascii="Times New Roman" w:cs="Times New Roman" w:eastAsia="Times New Roman" w:hAnsi="Times New Roman"/>
          <w:b/>
          <w:bCs/>
          <w:i w:val="false"/>
          <w:iCs w:val="false"/>
          <w:sz w:val="24"/>
          <w:szCs w:val="24"/>
        </w:rPr>
        <w:t xml:space="preserve">Identité de délai pour les deux parties. </w:t>
      </w:r>
      <w:r>
        <w:rPr>
          <w:rFonts w:ascii="Times New Roman" w:cs="Times New Roman" w:eastAsia="Times New Roman" w:hAnsi="Times New Roman"/>
          <w:b w:val="false"/>
          <w:bCs w:val="false"/>
          <w:i w:val="false"/>
          <w:iCs w:val="false"/>
          <w:sz w:val="24"/>
          <w:szCs w:val="24"/>
        </w:rPr>
        <w:t xml:space="preserve">Le même délai court aussi bien pour la partie qui a fait signifier la décision que pour celle à qui la signification a été faite, sous la même sanction de déchéance (Cass., 18 juillet 1924).</w:t>
      </w:r>
    </w:p>
    <w:p>
      <w:pPr>
        <w:spacing w:after="120"/>
        <w:jc w:val="both"/>
      </w:pPr>
      <w:r>
        <w:rPr>
          <w:rFonts w:ascii="Times New Roman" w:cs="Times New Roman" w:eastAsia="Times New Roman" w:hAnsi="Times New Roman"/>
          <w:b/>
          <w:bCs/>
          <w:i w:val="false"/>
          <w:iCs w:val="false"/>
          <w:sz w:val="24"/>
          <w:szCs w:val="24"/>
        </w:rPr>
        <w:t xml:space="preserve">Accomplissement. </w:t>
      </w:r>
      <w:r>
        <w:rPr>
          <w:rFonts w:ascii="Times New Roman" w:cs="Times New Roman" w:eastAsia="Times New Roman" w:hAnsi="Times New Roman"/>
          <w:b w:val="false"/>
          <w:bCs w:val="false"/>
          <w:i w:val="false"/>
          <w:iCs w:val="false"/>
          <w:sz w:val="24"/>
          <w:szCs w:val="24"/>
        </w:rPr>
        <w:t xml:space="preserve">La prescription est acquise lorsque le dernier jour du terme est accompli (art. 2029).</w:t>
      </w:r>
    </w:p>
    <w:p>
      <w:pPr>
        <w:pStyle w:val="Heading1"/>
        <w:spacing w:after="160" w:before="320"/>
      </w:pPr>
      <w:r>
        <w:rPr>
          <w:rFonts w:ascii="Times New Roman" w:cs="Times New Roman" w:eastAsia="Times New Roman" w:hAnsi="Times New Roman"/>
          <w:b/>
          <w:bCs/>
          <w:color w:val="1C1B3A"/>
          <w:sz w:val="28"/>
          <w:szCs w:val="28"/>
        </w:rPr>
        <w:t xml:space="preserve">I. Promulgation et application des lois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1er</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Connaissance présumée de la promulgation des lois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 / 1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24 h après la publication locale dans chaque commune ; 1 mois au plus tard, dans toute la République, après la promulgation présidentielle.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 (jur.)</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Exception d’inconstitutionnalité — saisine des Sections réunies après sursis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du jugement ou de l’arrêt ordonnant le sursis ou, à défaut de prononcé audience tenante, de sa signification. Formalité d’ordre public à peine d’irrecevabilité (Cass., 16 déc. 1955).</w:t>
            </w:r>
          </w:p>
        </w:tc>
      </w:tr>
    </w:tbl>
    <w:p>
      <w:pPr>
        <w:pStyle w:val="Heading1"/>
        <w:spacing w:after="160" w:before="320"/>
      </w:pPr>
      <w:r>
        <w:rPr>
          <w:rFonts w:ascii="Times New Roman" w:cs="Times New Roman" w:eastAsia="Times New Roman" w:hAnsi="Times New Roman"/>
          <w:b/>
          <w:bCs/>
          <w:color w:val="1C1B3A"/>
          <w:sz w:val="28"/>
          <w:szCs w:val="28"/>
        </w:rPr>
        <w:t xml:space="preserve">II. Contumace et droits civils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Arts. 30–34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Anéantissement du jugement de contumace (représentation volontaire ou arrestation)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5 années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du jour du jugement de contumace (« délai de grâce »). À l’expiration : ouverture définitive de la succession (art. 33).</w:t>
            </w:r>
          </w:p>
        </w:tc>
      </w:tr>
    </w:tbl>
    <w:p>
      <w:pPr>
        <w:pStyle w:val="Heading1"/>
        <w:spacing w:after="160" w:before="320"/>
      </w:pPr>
      <w:r>
        <w:rPr>
          <w:rFonts w:ascii="Times New Roman" w:cs="Times New Roman" w:eastAsia="Times New Roman" w:hAnsi="Times New Roman"/>
          <w:b/>
          <w:bCs/>
          <w:color w:val="1C1B3A"/>
          <w:sz w:val="28"/>
          <w:szCs w:val="28"/>
        </w:rPr>
        <w:t xml:space="preserve">III. Actes de l’état civil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50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Avis du dépositaire du registre au commissaire du Gouvernement (mention en marge)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mention effectuée.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58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Acte de naissance en cas de naissance en mer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naissance.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Arts. 63–64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Publications de mariage (deux publications) ; célébration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8 jours d’intervalle ; célébration au plus tôt le 2e jour</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Deux publications à huit jours d’intervalle, un dimanche ; affichage pendant les huit jours ; mariage célébré au plus tôt le second jour après la deuxième publication (non compris celle-ci).</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12 sept. 1961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Certificat prénuptial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30 jours au plus avant le mariage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Présentation des futurs conjoints au service médical dans un délai maximum de trente jours avant la date fixée pour la célébration.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76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Inhumation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 au moins après le décès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Sauf cas prévus par les règlements de police ; autorisation préalable de l’officier de l’état civil.</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85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Acte de décès en mer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du décès.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(jugement déclaratif de décès), art. 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Transcription du dispositif du jugement déclaratif de décès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Huitaine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du prononcé, sur les registres de l’état civil compétents.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27 août 1980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Régularisation des déclarations tardives de naissance (exemption fiscale)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années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promulgation de la loi.</w:t>
            </w:r>
          </w:p>
        </w:tc>
      </w:tr>
    </w:tbl>
    <w:p>
      <w:pPr>
        <w:pStyle w:val="Heading1"/>
        <w:spacing w:after="160" w:before="320"/>
      </w:pPr>
      <w:r>
        <w:rPr>
          <w:rFonts w:ascii="Times New Roman" w:cs="Times New Roman" w:eastAsia="Times New Roman" w:hAnsi="Times New Roman"/>
          <w:b/>
          <w:bCs/>
          <w:color w:val="1C1B3A"/>
          <w:sz w:val="28"/>
          <w:szCs w:val="28"/>
        </w:rPr>
        <w:t xml:space="preserve">IV. Absence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102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Demande en déclaration d’absence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1 année sans nouvelles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cessation de parution au domicile ou à la résidence.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105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Jugement de déclaration d’absence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 après le jugement d’enquête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Le jugement ne peut être rendu que six mois après celui ordonnant l’enquête.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Arts. 107–108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Envoi en possession provisoire lorsque l’absent a laissé une procuration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5 années révolues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Depuis la disparition ou les dernières nouvelles.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116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Restitution des revenus à l’absent qui reparaît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1/5 avant 10 ans ; 1/10 après 10 ans ; rien après 20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Computé depuis le jour de la disparition.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118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Envoi en possession définitif ; décharge des cautions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20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Depuis l’envoi provisoire ou la prise d’administration par l’époux commun.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Restitution des biens demandée par les enfants et descendants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l’envoi définitif.</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131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Tutelle provisoire des mineurs (disparition du père)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la disparition du père, si la mère est décédée.</w:t>
            </w:r>
          </w:p>
        </w:tc>
      </w:tr>
    </w:tbl>
    <w:p>
      <w:pPr>
        <w:pStyle w:val="Heading1"/>
        <w:spacing w:after="160" w:before="320"/>
      </w:pPr>
      <w:r>
        <w:rPr>
          <w:rFonts w:ascii="Times New Roman" w:cs="Times New Roman" w:eastAsia="Times New Roman" w:hAnsi="Times New Roman"/>
          <w:b/>
          <w:bCs/>
          <w:color w:val="1C1B3A"/>
          <w:sz w:val="28"/>
          <w:szCs w:val="28"/>
        </w:rPr>
        <w:t xml:space="preserve">V. Mariage — oppositions et nullités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157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Transcription en Haïti du mariage célébré à l’étranger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année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le retour dans la République ; à défaut, amende et enregistrement préalable à tout effet.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167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Demande en nullité (violence, erreur)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Irrecevable après 3 mois de cohabitation continue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Depuis que l’époux a acquis sa pleine liberté ou reconnu l’erreur.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169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en nullité (défaut de consentement des parents ou des époux)</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Fin de non-recevoir après 1 année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Sans réclamation depuis la connaissance du mariage, ou depuis que l’époux a atteint l’âge compétent.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171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Nullité pour défaut d’âge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Couverte après 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Depuis que l’époux (ou les époux) a atteint l’âge compétent ; ou conception par la femme avant l’échéance de six mois de la célébration.</w:t>
            </w:r>
          </w:p>
        </w:tc>
      </w:tr>
    </w:tbl>
    <w:p>
      <w:pPr>
        <w:pStyle w:val="Heading1"/>
        <w:spacing w:after="160" w:before="320"/>
      </w:pPr>
      <w:r>
        <w:rPr>
          <w:rFonts w:ascii="Times New Roman" w:cs="Times New Roman" w:eastAsia="Times New Roman" w:hAnsi="Times New Roman"/>
          <w:b/>
          <w:bCs/>
          <w:color w:val="1C1B3A"/>
          <w:sz w:val="28"/>
          <w:szCs w:val="28"/>
        </w:rPr>
        <w:t xml:space="preserve">VI. Divorce pour cause déterminée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228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Décision du tribunal sur la permission de citer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 ; suspension max. 20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Dans les trois jours suivant le rapport du doyen, sur conclusions du Ministère public.</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229 (L. 5 mai 1949)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Citation du défendeur à comparaître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Huitaine franche + délai de distance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Copie de la demande et des pièces donnée en tête de citation ; à l’échéance, instruction et jugement en la forme ordinaire (art. 230).</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248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Citation à comparaître pour le jugement définitif (séparation d’épreuve)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1 année d’épreuve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Si les parties ne sont pas réunies ; citation « dans les délais de la loi ».</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251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Appel du jugement d’admission ou du jugement définitif</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signification du jugement contradictoire, ou de l’expiration du délai d’opposition s’il est par défaut. Cause instruite comme affaire urgente ; pourvoi suspensif ; pas d’acquiescement possible.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Arts. 252–254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Présentation devant l’officier de l’état civil pour faire prononcer le divorce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Jugements par défaut : après expiration du délai d’opposition ; jugements contradictoires : après expiration du délai de pourvoi. Sanction : le jugement demeure non avenu (art. 254).</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art. 10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Transcription du dispositif du jugement ou arrêt de divorce par l’officier de l’état civil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dater de la signification-sommation par huissier, récépissé fiscal joint. Effet à l’égard des tiers à compter de la transcription.</w:t>
            </w:r>
          </w:p>
        </w:tc>
      </w:tr>
    </w:tbl>
    <w:p>
      <w:pPr>
        <w:pStyle w:val="Heading2"/>
        <w:spacing w:after="140" w:before="280"/>
      </w:pPr>
      <w:r>
        <w:rPr>
          <w:rFonts w:ascii="Times New Roman" w:cs="Times New Roman" w:eastAsia="Times New Roman" w:hAnsi="Times New Roman"/>
          <w:b/>
          <w:bCs/>
          <w:color w:val="1C1B3A"/>
          <w:sz w:val="26"/>
          <w:szCs w:val="26"/>
        </w:rPr>
        <w:t xml:space="preserve">Mesures provisoires (pension alimentaire et garde d’enfants)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 (loi annexée)</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Pourvoi en cassation contre l’ordonnance de pension alimentaire / garde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notification de l’ordonnance ; ordonnance réputée contradictoire ; ni opposition ni appel ; formes des affaires urgentes.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Contrainte par corps contre le débiteur d’aliments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Max. 1 mois ; exécution après 1 jour franc</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Prononcée si deux mois d’impayés ; exécution si non-paiement dans le jour franc de la convocation du commissaire du Gouvernement.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Demande en validité de saisie-arrêt (aliments)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jour franc</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saisie-arrêt ; à défaut, mainlevée à la demande du saisi.</w:t>
            </w:r>
          </w:p>
        </w:tc>
      </w:tr>
    </w:tbl>
    <w:p>
      <w:pPr>
        <w:pStyle w:val="Heading1"/>
        <w:spacing w:after="160" w:before="320"/>
      </w:pPr>
      <w:r>
        <w:rPr>
          <w:rFonts w:ascii="Times New Roman" w:cs="Times New Roman" w:eastAsia="Times New Roman" w:hAnsi="Times New Roman"/>
          <w:b/>
          <w:bCs/>
          <w:color w:val="1C1B3A"/>
          <w:sz w:val="28"/>
          <w:szCs w:val="28"/>
        </w:rPr>
        <w:t xml:space="preserve">VII. Divorce par consentement mutuel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264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Recevabilité du consentement mutuel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2 ans de mariage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Et avant 25 ans de mariage ; femme de moins de 45 ans (art. 265).</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271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Retrait de la femme dans la maison convenue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l’avertissement au procès-verbal notarié ; résidence jusqu’au divorce prononcé.</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272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Renouvellement de la déclaration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Première quinzaine des 4e, 7e et 10e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Suivant la première déclaration, mêmes formalités.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273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Présentation devant le doyen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Dans la quinzaine de la révolution de l’année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première déclaration ; assistance de quatre notables.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275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Référé du doyen au tribunal (chambre du conseil)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Ordonnance mise au bas du procès-verbal.</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284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Remariage de la femme divorcée (cause déterminée)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le divorce prononcé.</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285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Remariage des époux (consentement mutuel)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la prononciation du divorce.</w:t>
            </w:r>
          </w:p>
        </w:tc>
      </w:tr>
    </w:tbl>
    <w:p>
      <w:pPr>
        <w:pStyle w:val="Heading1"/>
        <w:spacing w:after="160" w:before="320"/>
      </w:pPr>
      <w:r>
        <w:rPr>
          <w:rFonts w:ascii="Times New Roman" w:cs="Times New Roman" w:eastAsia="Times New Roman" w:hAnsi="Times New Roman"/>
          <w:b/>
          <w:bCs/>
          <w:color w:val="1C1B3A"/>
          <w:sz w:val="28"/>
          <w:szCs w:val="28"/>
        </w:rPr>
        <w:t xml:space="preserve">VIII. Filiation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296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Contestation de légitimité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Enfant né 300 jours après la dissolution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La légitimité peut être contestée.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297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Désaveu de paternité par le mari</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mois / 2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Un mois s’il est sur les lieux de la naissance ; deux mois après son retour s’il est absent ; deux mois après la découverte de la fraude si la naissance lui a été cachée.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298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Désaveu par les héritiers du mari</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mise en possession des biens par l’enfant, ou du trouble apporté par lui.</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299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en justice consécutive au désaveu extrajudiciaire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défaut, l’acte extrajudiciaire est non avenu ; action dirigée contre un tuteur ad hoc, mère présente.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311 (D.-L. 22 déc. 1944)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en déclaration judiciaire de paternité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années ; ou 1 année après la majorité</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peine de déchéance : deux ans de l’accouchement (ou de la cessation du concubinage, cas du §2) ; l’enfant peut agir pendant toute l’année suivant sa majorité si l’action n’a pas été intentée pendant sa minorité.</w:t>
            </w:r>
          </w:p>
        </w:tc>
      </w:tr>
    </w:tbl>
    <w:p>
      <w:pPr>
        <w:pStyle w:val="Heading1"/>
        <w:spacing w:after="160" w:before="320"/>
      </w:pPr>
      <w:r>
        <w:rPr>
          <w:rFonts w:ascii="Times New Roman" w:cs="Times New Roman" w:eastAsia="Times New Roman" w:hAnsi="Times New Roman"/>
          <w:b/>
          <w:bCs/>
          <w:color w:val="1C1B3A"/>
          <w:sz w:val="28"/>
          <w:szCs w:val="28"/>
        </w:rPr>
        <w:t xml:space="preserve">IX.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6 (loi sur l’adoption)</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Homologation en cas de défaut de consentement d’un parent divorcé/séparé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30 jours au moins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L’homologation ne peut intervenir que trente jours après la signification de l’acte d’adoption ; opposition notifiable au greffe dans ce délai.</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Recours devant la Cour d’appel contre le refus d’homologation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30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Du prononcé du jugement.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Pourvoi en cassation contre l’arrêt de rejet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30 jours francs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partir de la signification de l’arrêt, formes du Code de procédure civile.</w:t>
            </w:r>
          </w:p>
        </w:tc>
      </w:tr>
    </w:tbl>
    <w:p>
      <w:pPr>
        <w:pStyle w:val="Heading1"/>
        <w:spacing w:after="160" w:before="320"/>
      </w:pPr>
      <w:r>
        <w:rPr>
          <w:rFonts w:ascii="Times New Roman" w:cs="Times New Roman" w:eastAsia="Times New Roman" w:hAnsi="Times New Roman"/>
          <w:b/>
          <w:bCs/>
          <w:color w:val="1C1B3A"/>
          <w:sz w:val="28"/>
          <w:szCs w:val="28"/>
        </w:rPr>
        <w:t xml:space="preserve">X. Puissance paternelle, tutelle et émancipation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317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Détention correctionnelle de l’enfant de 15 ans à la majorité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 au plus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Sur réquisition du père au doyen ; le doyen peut abréger. V. aussi art. 15, D. 8 oct. 1982 (6 mois max.).</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338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Comparution devant le conseil de famille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Intervalle min. de 3 jours + 1 jour / 5 lieues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Entre la citation et la réunion ; augmentation pour les personnes d’une autre commune.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353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Excuses du tuteur nommé hors sa présence — convocation du conseil de famille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 + 1 jour / 5 lieues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partir de la notification de sa nomination ; passé ce délai, non recevable ; administration provisoire pendant le litige.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366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Emploi de l’excédent des revenus du mineur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Passé ce délai, le tuteur doit les intérêts de plein droit.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385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du mineur contre son tuteur (faits de tutelle)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Prescription de 5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 clôture du compte définitif de tutelle.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417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Durée maximale de la tutelle d’un interdit (tiers)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l’expiration, le tuteur peut demander et doit obtenir son remplacement (sauf conjoint, ascendants, descendants).</w:t>
            </w:r>
          </w:p>
        </w:tc>
      </w:tr>
    </w:tbl>
    <w:p>
      <w:pPr>
        <w:pStyle w:val="Heading1"/>
        <w:spacing w:after="160" w:before="320"/>
      </w:pPr>
      <w:r>
        <w:rPr>
          <w:rFonts w:ascii="Times New Roman" w:cs="Times New Roman" w:eastAsia="Times New Roman" w:hAnsi="Times New Roman"/>
          <w:b/>
          <w:bCs/>
          <w:color w:val="1C1B3A"/>
          <w:sz w:val="28"/>
          <w:szCs w:val="28"/>
        </w:rPr>
        <w:t xml:space="preserve">XI. Successions et substitutions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648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Faculté d’accepter ou de répudier une succession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Prescription de 20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Régime de droit commun de l’option héréditaire.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654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Inventaire et délibération de l’héritier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 + 40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Trois mois pour inventaire, à compter de l’ouverture de la succession ; quarante jours pour délibérer, courant de l’expiration des trois mois ou de la clôture anticipée de l’inventaire. Nouveau délai possible en justice (art. 657).</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668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Recours des créanciers non opposants contre les légataires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Prescription de 3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l’apurement du compte et du paiement du reliquat.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674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Convention de maintien de l’indivision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5 ans max.</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Renouvelable ; nul ne peut être contraint de demeurer dans l’indivision.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707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Exécution des titres exécutoires du défunt contre l’héritier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8 jours après signification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Signification des titres à personne ou à domicile de l’héritier ; le commandement signifié avant la huitaine n’est pas nul, n’étant pas un acte d’exécution (Trib. d’appel P-au-P., 17 mars 1922).</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716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Garantie de solvabilité du débiteur d’une rente (partage)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5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Suivant le partage ; pas de garantie si l’insolvabilité est postérieure au partage consommé.</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802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Validité du testament fait en mer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le débarquement, si le testateur a pu le refaire dans les formes ordinaires.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862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Nomination du tuteur à la substitution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du décès du donateur ou testateur, ou de la connaissance de l’acte.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Arts. 871–873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Emploi des deniers par le grevé de substitution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 / 3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Six mois de la clôture de l’inventaire (deniers comptants, prix des meubles) ; trois mois de la réception (recouvrements et remboursements de rentes) ; prorogation possible (art. 872).</w:t>
            </w:r>
          </w:p>
        </w:tc>
      </w:tr>
    </w:tbl>
    <w:p>
      <w:pPr>
        <w:pStyle w:val="Heading1"/>
        <w:spacing w:after="160" w:before="320"/>
      </w:pPr>
      <w:r>
        <w:rPr>
          <w:rFonts w:ascii="Times New Roman" w:cs="Times New Roman" w:eastAsia="Times New Roman" w:hAnsi="Times New Roman"/>
          <w:b/>
          <w:bCs/>
          <w:color w:val="1C1B3A"/>
          <w:sz w:val="28"/>
          <w:szCs w:val="28"/>
        </w:rPr>
        <w:t xml:space="preserve">XII. Communauté et régimes matrimoniaux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1229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Exécution de la séparation de biens prononcée en justice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Quinzaine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Paiement réel par acte authentique, ou au moins poursuites commencées dans la quinzaine du jugement et non interrompues ; à défaut, nullité.</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1241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Inventaire par la femme survivante (faculté de renoncer)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Du jour du décès du mari ; inventaire contradictoire, affirmé sincère à la clôture.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1242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Renonciation à la communauté au greffe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 et 40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le décès du mari ; inscription au registre des renonciations à succession.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1244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Poursuite de la veuve n’ayant pas renoncé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40 jours de la clôture de l’inventaire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La veuve non immiscée ayant inventorié conserve la faculté de renoncer, mais peut être poursuivie comme commune.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1246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Décès de la veuve pendant les délais — héritiers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Nouveau délai de 3 mois + 40 jours (ou 40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Trois mois et quarante jours du décès de la veuve si l’inventaire n’était pas terminé ; quarante jours seulement s’il l’était.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1248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Acceptation de la communauté après divorce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 et 40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le divorce définitivement prononcé ; à défaut, renonciation présumée, sauf prorogation judiciaire contradictoire.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1250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Habitation et nourriture de la veuve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Pendant les 3 mois et 40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Nourriture sur les provisions ou par emprunt au compte de la masse ; pas de loyer dû pendant ces délais.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1350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Restitution de la dot mobilière estimée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 après la dissolution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Si la dot consiste en somme d’argent ou meubles mis à prix.</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1354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Répétition de la dot sans preuve de réception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10 ans de mariage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Depuis l’échéance des termes de paiement de la dot ; sauf diligences justifiées du mari.</w:t>
            </w:r>
          </w:p>
        </w:tc>
      </w:tr>
    </w:tbl>
    <w:p>
      <w:pPr>
        <w:pStyle w:val="Heading1"/>
        <w:spacing w:after="160" w:before="320"/>
      </w:pPr>
      <w:r>
        <w:rPr>
          <w:rFonts w:ascii="Times New Roman" w:cs="Times New Roman" w:eastAsia="Times New Roman" w:hAnsi="Times New Roman"/>
          <w:b/>
          <w:bCs/>
          <w:color w:val="1C1B3A"/>
          <w:sz w:val="28"/>
          <w:szCs w:val="28"/>
        </w:rPr>
        <w:t xml:space="preserve">XIII. Contrats spéciaux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1089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en nullité ou en rescision des conventions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Violence : du jour où elle a cessé ; erreur ou dol : du jour de leur découverte ; actes des interdits : de la levée de l’interdiction ; actes des mineurs : de la majorité. Inapplicable aux nullités absolues (Cass., jur. sous art. 1106).</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1445</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Faculté de rachat (réméré)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5 années max.</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Stipulation pour un terme plus long réduite à cinq ans ; le délai court contre toutes personnes, même le mineur (art. 1448).</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1519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Congé au fermier / locataire en cas de vente (faculté d’expulsion réservée)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 au moins (fermier)</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Avertissement un an à l’avance ; le locataire selon le délai d’usage des lieux pour les congés.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1561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Responsabilité des architectes et entrepreneurs (prix fait)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5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Périssement total ou partiel par vice de construction ou du sol.</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1623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Réclamation contre le règlement des parts sociales par un tiers ou un associé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Depuis la connaissance du règlement par la partie lésée ; irrecevable aussi en cas de commencement d’exécution.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1678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Rachat d’une rente constituée en perpétuel — stipulation de différé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10 ans max.</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Les parties peuvent convenir que le rachat n’interviendra pas avant ce délai.</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1679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Contrainte au rachat de la rente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Après 2 années de manquement</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Si le débiteur cesse de remplir ses obligations pendant deux années, ou manque à fournir les sûretés.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1914, art. 9</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Conservation de l’action résolutoire du vendeur (privilège éteint)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Inscription de l’action au bureau des hypothèques à compter du 1er janvier 1914.</w:t>
            </w:r>
          </w:p>
        </w:tc>
      </w:tr>
    </w:tbl>
    <w:p>
      <w:pPr>
        <w:pStyle w:val="Heading1"/>
        <w:spacing w:after="160" w:before="320"/>
      </w:pPr>
      <w:r>
        <w:rPr>
          <w:rFonts w:ascii="Times New Roman" w:cs="Times New Roman" w:eastAsia="Times New Roman" w:hAnsi="Times New Roman"/>
          <w:b/>
          <w:bCs/>
          <w:color w:val="1C1B3A"/>
          <w:sz w:val="28"/>
          <w:szCs w:val="28"/>
        </w:rPr>
        <w:t xml:space="preserve">XIV. Privilèges, hypothèques et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1869-1°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Revendication par le bailleur des meubles déplacés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40 jours (ferme) / quinzaine (maison)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Conservation du privilège du bailleur sur les meubles déplacés sans son consentement.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1869-4°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Revendication du vendeur de meubles (vente sans terme)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Huitaine de la livraison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Effets encore en possession de l’acheteur et dans le même état.</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1876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Inscription du privilège du copartageant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60 jours ; utilement dans le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Soixante jours à dater de l’acte de partage ou de l’adjudication ; aucune hypothèque ne peut primer pendant ce temps ; inscription utile dans le mois nonobstant transcriptions intermédiaires.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1878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Inscription du privilège de la séparation des patrimoines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de l’ouverture de la succession ; aucune hypothèque des héritiers ne peut être établie avec effet avant l’expiration.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1918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Collocation du créancier inscrit pour les intérêts et arrérages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années + année courante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Au même rang que le capital ; inscriptions particulières pour le surplus.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1936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Revente sur le tiers détenteur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commandement au débiteur originaire et sommation au tiers détenteur de payer ou délaisser.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1943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Fruits dus par le tiers détenteur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Nouvelle sommation après 3 ans d’abandon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Fruits dus à compter de la sommation ; si les poursuites ont été abandonnées pendant trois ans, à compter de la nouvelle sommation.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1950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Purge — notification du nouveau propriétaire aux créanciers inscrits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mois au plus tard</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Soit avant les poursuites, soit dans le mois de la première sommation. Délais de mois computés de quantième à quantième (Cass.).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1952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Réquisition de mise aux enchères par un créancier inscrit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40 jours + 1 jour / 5 lieues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Au plus tard de la notification du nouveau propriétaire ; à peine de nullité (avec les autres conditions) ; à défaut de réquisition, valeur définitivement fixée au prix (art. 1953).</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Arts. 1961–1962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Affichage de l’extrait du contrat (hypothèques légales des femmes, mineurs, interdits)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Affichage dans l’auditoire du tribunal ; à défaut d’inscription dans les deux mois, l’immeuble passe à l’acquéreur sans charge de ces chefs.</w:t>
            </w:r>
          </w:p>
        </w:tc>
      </w:tr>
    </w:tbl>
    <w:p>
      <w:pPr>
        <w:pStyle w:val="Heading1"/>
        <w:spacing w:after="160" w:before="320"/>
      </w:pPr>
      <w:r>
        <w:rPr>
          <w:rFonts w:ascii="Times New Roman" w:cs="Times New Roman" w:eastAsia="Times New Roman" w:hAnsi="Times New Roman"/>
          <w:b/>
          <w:bCs/>
          <w:color w:val="1C1B3A"/>
          <w:sz w:val="28"/>
          <w:szCs w:val="28"/>
        </w:rPr>
        <w:t xml:space="preserve">XV. Contrainte par corps et exécution forcée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1827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Contrainte par corps après condamnation au pétitoire (refus de désemparer)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Quinzaine + 1 jour / 5 lieues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Après la signification du premier jugement à personne ou domicile ; second jugement nécessaire.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1983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Poursuite en expropriation sur jugement par défaut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Suspendue durant le délai d’opposition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La poursuite ne peut s’exercer en vertu d’un jugement par défaut durant le délai de l’opposition ; adjudication seulement après jugement définitif ou passé en force de chose jugée.</w:t>
            </w:r>
          </w:p>
        </w:tc>
      </w:tr>
    </w:tbl>
    <w:p>
      <w:pPr>
        <w:pStyle w:val="Heading1"/>
        <w:spacing w:after="160" w:before="320"/>
      </w:pPr>
      <w:r>
        <w:rPr>
          <w:rFonts w:ascii="Times New Roman" w:cs="Times New Roman" w:eastAsia="Times New Roman" w:hAnsi="Times New Roman"/>
          <w:b/>
          <w:bCs/>
          <w:color w:val="1C1B3A"/>
          <w:sz w:val="28"/>
          <w:szCs w:val="28"/>
        </w:rPr>
        <w:t xml:space="preserve">XVI. Possession et actions possessoires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2001 (jur.)</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en réintégrande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année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Irrecevable pour tardiveté lorsque les dépossédés ont négligé d’agir dans l’année où la violence a cessé (Cass., 3 avril 1906) ; la privation de jouissance pendant un an fait obstacle au possessoire, non au pétitoire.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2011</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Interruption naturelle de la prescription acquisitive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Privation de plus d’1 an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Privation de la jouissance par l’ancien propriétaire ou un tiers.</w:t>
            </w:r>
          </w:p>
        </w:tc>
      </w:tr>
    </w:tbl>
    <w:p>
      <w:pPr>
        <w:pStyle w:val="Heading1"/>
        <w:spacing w:after="160" w:before="320"/>
      </w:pPr>
      <w:r>
        <w:rPr>
          <w:rFonts w:ascii="Times New Roman" w:cs="Times New Roman" w:eastAsia="Times New Roman" w:hAnsi="Times New Roman"/>
          <w:b/>
          <w:bCs/>
          <w:color w:val="1C1B3A"/>
          <w:sz w:val="28"/>
          <w:szCs w:val="28"/>
        </w:rPr>
        <w:t xml:space="preserve">XVII. Prescription (Loi n°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2027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Suspension pendant les délais d’option héréditaire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mois + 40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La prescription court néanmoins pendant les trois mois pour faire inventaire et les quarante jours pour délibérer (texte : « elle court encore »).</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2030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Prescription de droit commun (actions réelles et personnelles)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Sans titre requis, sans exception de mauvaise foi. N.B. : une décision isolée (Cass., 2 août 1984, note sous art. 2035) énonce « trente ans » — divergence à signaler.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2033</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Prescription acquisitive abrégée (juste titre et bonne foi)</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10 ans / 15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Dix ans si le véritable propriétaire habite la République ; quinze ans s’il est domicilié hors du territoire.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2036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Actions des maîtres et instituteurs (leçons au mois), hôteliers, ouvriers et gens de travail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6 mois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Journées, fournitures et salaires.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2037</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Actions des médecins, huissiers, marchands, maîtres de pension</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Visites, actes signifiés, marchandises vendues aux non-marchands, pensions et apprentissages.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2038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Action des défenseurs publics (frais et salaires)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 ans ; limite de 5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Deux ans du jugement, de la conciliation ou de la révocation ; pour les affaires non terminées, pas de demande remontant à plus de cinq ans.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2042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Arrérages de rentes et pensions alimentaires, loyers et fermages, intérêts, prestations périodiques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5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Prescription non suppléable d’office et non invocable pour la première fois en cassation (Cass., 17 avril 1949).</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2044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Revendication de meubles perdus ou volés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compter du jour de la perte ou du vol, contre le détenteur ; recours de celui-ci contre son auteur.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2046</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Dispositions transitoires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Plafond de 20 ans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Prescriptions commencées régies par les lois anciennes ; si plus de vingt ans restaient à courir, accomplissement par vingt ans.</w:t>
            </w:r>
          </w:p>
        </w:tc>
      </w:tr>
    </w:tbl>
    <w:p>
      <w:pPr>
        <w:pStyle w:val="Heading1"/>
        <w:spacing w:after="160" w:before="320"/>
      </w:pPr>
      <w:r>
        <w:rPr>
          <w:rFonts w:ascii="Times New Roman" w:cs="Times New Roman" w:eastAsia="Times New Roman" w:hAnsi="Times New Roman"/>
          <w:b/>
          <w:bCs/>
          <w:color w:val="1C1B3A"/>
          <w:sz w:val="28"/>
          <w:szCs w:val="28"/>
        </w:rPr>
        <w:t xml:space="preserve">XVIII. Législation sur les loyers (lois annexées au titre du louage)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art. 10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Contentieux du non-paiement des loyers devant le juge de paix</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Jugement sous 48 heures ; mise en demeure 1 jour franc</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Jugées sans remise ni tour de rôle à la première audience ; exceptions tranchées audience tenante ; jugement du fond dans les quarante-huit heures à peine de prise à partie ; mise en demeure signifiée au moins un jour franc avant l’exploit introductif.</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art. 12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Demandes sommaires (résiliation et déguerpissement) devant le tribunal civil</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Comparution : 3 jours francs ; jugement à huitaine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Affaire entendue sans écritures à l’expiration du délai ; communications de pièces à la barre ; prononcé à huitaine à peine de prise à partie.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art. 13–14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Exécution provisoire et recevabilité des recours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Exécutoire par provision (3 mois de loyers dus)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Déguerpissement exécutoire nonobstant appel ou pourvoi ; recevabilité de l’appel/du pourvoi subordonnée à la consignation des loyers échus, à peine de déchéance d’office.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art. 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Délai de grâce du locataire poursuivi en congé</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 min. – 3 ans max.</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Toujours accordé, à charge de payer régulièrement jusqu’à l’expiration.</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art. 4 (révision des loyers)</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Maintien des loyers antérieurs après fixation d’un nouveau prix</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1 an min. – 3 ans max.</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défaut d’accord entre bailleur et locataire, après arbitrage du Département du Commerce et de l’Économie nationale.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17 mai 1948, art. 1 et s.</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Déguerpissement forcé — délais exceptionnels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à 5 ans (2 à 4 ans selon le cas)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Bénéfice subordonné au paiement régulier, au plus tard 3 jours francs après mise en demeure (art. 4), et à la jouissance en bon père de famille.</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8 sept. 1948</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Délaissement des immeubles à démolir ou réparer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8 jours max. ; puis 15 à 30 jours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Huit jours au plus pour délaisser ; à défaut, le juge ne peut accorder qu’un délai de quinze à trente jours.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(réduction de loyers), art. 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Consignation du loyer refusé par le propriétaire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Quinzaine de l’échéance</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peine de perte du bénéfice de la réduction pour le mois ; consignation à la Caisse des dépôts et consignations (prélèvement de 10 %).</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(réparations), art. 2</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Substitution du commissaire du Gouvernement au propriétaire défaillant</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3 jours de la sommation</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À défaut de procéder aux réparations nécessaires dans les trois jours.</w:t>
            </w:r>
          </w:p>
        </w:tc>
      </w:tr>
    </w:tbl>
    <w:p>
      <w:pPr>
        <w:pStyle w:val="Heading1"/>
        <w:spacing w:after="160" w:before="320"/>
      </w:pPr>
      <w:r>
        <w:rPr>
          <w:rFonts w:ascii="Times New Roman" w:cs="Times New Roman" w:eastAsia="Times New Roman" w:hAnsi="Times New Roman"/>
          <w:b/>
          <w:bCs/>
          <w:color w:val="1C1B3A"/>
          <w:sz w:val="28"/>
          <w:szCs w:val="28"/>
        </w:rPr>
        <w:t xml:space="preserve">XIX. Dispositions diverses à incidence procédurale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500"/>
        <w:gridCol w:w="1750"/>
        <w:gridCol w:w="3860"/>
      </w:tblGrid>
      <w:tr>
        <w:trPr>
          <w:tblHeader/>
        </w:trPr>
        <w:tc>
          <w:tcPr>
            <w:tcW w:type="dxa" w:w="12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Référence</w:t>
            </w:r>
          </w:p>
        </w:tc>
        <w:tc>
          <w:tcPr>
            <w:tcW w:type="dxa" w:w="250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Acte / objet</w:t>
            </w:r>
          </w:p>
        </w:tc>
        <w:tc>
          <w:tcPr>
            <w:tcW w:type="dxa" w:w="175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Délai</w:t>
            </w:r>
          </w:p>
        </w:tc>
        <w:tc>
          <w:tcPr>
            <w:tcW w:type="dxa" w:w="3860"/>
            <w:shd w:fill="F6F4EE" w:val="clear"/>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Point de départ / observations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21 avril 1940, art. 1er</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Notification au Bureau des contributions des décisions d’administration / séquestre</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 du prononcé</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Par le greffier compétent ; décision exécutoire sur minute nonobstant tout recours.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Loi (consignations), art. 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Production du récépissé de consignation au dossier</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24 heures du procès-verbal</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Amendes de recours versées le jour précédant le délibéré, récépissé visé du greffier.</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1980</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Suspension de la poursuite hypothécaire (délégation des revenus)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Revenu net d’1 année suffisant</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Faculté judiciaire de suspendre si le revenu d’une année couvre capital, intérêts et frais.</w:t>
            </w:r>
          </w:p>
        </w:tc>
      </w:tr>
      <w:tr>
        <w:tc>
          <w:tcPr>
            <w:tcW w:type="dxa" w:w="125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Art. 944</w:t>
            </w:r>
          </w:p>
        </w:tc>
        <w:tc>
          <w:tcPr>
            <w:tcW w:type="dxa" w:w="2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Anatocisme (capitalisation des intérêts)</w:t>
            </w:r>
          </w:p>
        </w:tc>
        <w:tc>
          <w:tcPr>
            <w:tcW w:type="dxa" w:w="1750"/>
            <w:tcMar>
              <w:top w:type="dxa" w:w="60"/>
              <w:left w:type="dxa" w:w="100"/>
              <w:bottom w:type="dxa" w:w="60"/>
              <w:right w:type="dxa" w:w="100"/>
            </w:tcMar>
          </w:tcPr>
          <w:p>
            <w:pPr>
              <w:spacing w:after="0"/>
              <w:jc w:val="left"/>
            </w:pPr>
            <w:r>
              <w:rPr>
                <w:rFonts w:ascii="Times New Roman" w:cs="Times New Roman" w:eastAsia="Times New Roman" w:hAnsi="Times New Roman"/>
                <w:b/>
                <w:bCs/>
                <w:i w:val="false"/>
                <w:iCs w:val="false"/>
                <w:sz w:val="22"/>
                <w:szCs w:val="22"/>
              </w:rPr>
              <w:t xml:space="preserve">Intérêts dus pour 1 année entière au moins</w:t>
            </w:r>
          </w:p>
        </w:tc>
        <w:tc>
          <w:tcPr>
            <w:tcW w:type="dxa" w:w="386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i w:val="false"/>
                <w:iCs w:val="false"/>
                <w:sz w:val="22"/>
                <w:szCs w:val="22"/>
              </w:rPr>
              <w:t xml:space="preserve">Par demande judiciaire ou convention spéciale.</w:t>
            </w:r>
          </w:p>
        </w:tc>
      </w:tr>
    </w:tbl>
    <w:p>
      <w:pPr>
        <w:pStyle w:val="Heading1"/>
        <w:spacing w:after="160" w:before="320"/>
      </w:pPr>
      <w:r>
        <w:rPr>
          <w:rFonts w:ascii="Times New Roman" w:cs="Times New Roman" w:eastAsia="Times New Roman" w:hAnsi="Times New Roman"/>
          <w:b/>
          <w:bCs/>
          <w:color w:val="1C1B3A"/>
          <w:sz w:val="28"/>
          <w:szCs w:val="28"/>
        </w:rPr>
        <w:t xml:space="preserve">Observations de synthèse</w:t>
      </w:r>
    </w:p>
    <w:p>
      <w:pPr>
        <w:spacing w:after="120"/>
        <w:jc w:val="both"/>
      </w:pPr>
      <w:r>
        <w:rPr>
          <w:rFonts w:ascii="Times New Roman" w:cs="Times New Roman" w:eastAsia="Times New Roman" w:hAnsi="Times New Roman"/>
          <w:b w:val="false"/>
          <w:bCs w:val="false"/>
          <w:i w:val="false"/>
          <w:iCs w:val="false"/>
          <w:sz w:val="24"/>
          <w:szCs w:val="24"/>
        </w:rPr>
        <w:t xml:space="preserve">1. Typologie. Le Code combine (i) des délais d’action à peine de déchéance ou de forclusion (arts. 251, 252–254, 299, 311, 353, 1952 ; art. 10 de la loi sur la transcription du divorce ; art. 2 de la loi sur la pension alimentaire), (ii) des délais d’attente ou de protection (arts. 64, 76, 229, 284–285, 1878, 1936), (iii) des délais de prescription extinctive ou acquisitive (Loi n° 35, arts. 1089, 385, 648, 668) et (iv) des délais imposés au juge ou aux officiers publics à peine de prise à partie (arts. 10 et 12 des lois sur les loyers ; loi sur les déclarations tardives).</w:t>
      </w:r>
    </w:p>
    <w:p>
      <w:pPr>
        <w:spacing w:after="120"/>
        <w:jc w:val="both"/>
      </w:pPr>
      <w:r>
        <w:rPr>
          <w:rFonts w:ascii="Times New Roman" w:cs="Times New Roman" w:eastAsia="Times New Roman" w:hAnsi="Times New Roman"/>
          <w:b w:val="false"/>
          <w:bCs w:val="false"/>
          <w:i w:val="false"/>
          <w:iCs w:val="false"/>
          <w:sz w:val="24"/>
          <w:szCs w:val="24"/>
        </w:rPr>
        <w:t xml:space="preserve">2. Jours francs. Le législateur réserve expressément la computation franche aux délais brefs à forte incidence contentieuse : huitaine franche de citation en divorce (art. 229), trois jours francs de transcription du divorce, du pourvoi en matière d’aliments et de comparution en matière de loyers, un jour franc pour la mise en demeure locative et l’exécution de la contrainte par corps alimentaire, trente jours francs en matière d’adoption. En matière de travail, conformément à la règle rappelée en tête du présent relevé, les délais se computent en jours francs sur une journée utile de 6 h a.m. à 4 h p.m.</w:t>
      </w:r>
    </w:p>
    <w:p>
      <w:pPr>
        <w:spacing w:after="120"/>
        <w:jc w:val="both"/>
      </w:pPr>
      <w:r>
        <w:rPr>
          <w:rFonts w:ascii="Times New Roman" w:cs="Times New Roman" w:eastAsia="Times New Roman" w:hAnsi="Times New Roman"/>
          <w:b w:val="false"/>
          <w:bCs w:val="false"/>
          <w:i w:val="false"/>
          <w:iCs w:val="false"/>
          <w:sz w:val="24"/>
          <w:szCs w:val="24"/>
        </w:rPr>
        <w:t xml:space="preserve">3. Délai de distance. L’augmentation d’un jour par cinq lieues est systématique pour les comparutions et significations (arts. 338, 353, 1827, 1952 ; art. 229 par renvoi au « délai de distance ») et bénéficie de plein droit au défendeur (Cass., 21 juillet 1924).</w:t>
      </w:r>
    </w:p>
    <w:p>
      <w:pPr>
        <w:spacing w:after="120"/>
        <w:jc w:val="both"/>
      </w:pPr>
      <w:r>
        <w:rPr>
          <w:rFonts w:ascii="Times New Roman" w:cs="Times New Roman" w:eastAsia="Times New Roman" w:hAnsi="Times New Roman"/>
          <w:b w:val="false"/>
          <w:bCs w:val="false"/>
          <w:i w:val="false"/>
          <w:iCs w:val="false"/>
          <w:sz w:val="24"/>
          <w:szCs w:val="24"/>
        </w:rPr>
        <w:t xml:space="preserve">4. Anomalie de source signalée. La note de jurisprudence n° 4 sous l’article 2035 énonce que « toutes les actions, tant réelles que personnelles, sont prescrites pour trente ans » (Cass., 2 août 1984), alors que l’article 2030 du Code fixe la prescription de droit commun à vingt ans. La divergence — vraisemblablement une référence au droit français ou une erreur de l’édition — est préservée et signalée conformément au protocole du pipeline (anomalie de source, non corrigée).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2026-08-19T19:39:34.444Z</dcterms:created>
  <dcterms:modified xsi:type="dcterms:W3CDTF">2026-08-19T19:39:34.459Z</dcterms:modified>
</cp:coreProperties>
</file>

<file path=docProps/custom.xml><?xml version="1.0" encoding="utf-8"?>
<Properties xmlns="http://schemas.openxmlformats.org/officeDocument/2006/custom-properties" xmlns:vt="http://schemas.openxmlformats.org/officeDocument/2006/docPropsVTypes"/>
</file>