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Times New Roman" w:cs="Times New Roman" w:eastAsia="Times New Roman" w:hAnsi="Times New Roman"/>
          <w:b/>
          <w:bCs/>
          <w:sz w:val="40"/>
          <w:szCs w:val="40"/>
        </w:rPr>
        <w:t xml:space="preserve">CODE DU TRAVAIL DE LA RÉPUBLIQUE D’HAÏTI</w:t>
      </w:r>
    </w:p>
    <w:p>
      <w:pPr>
        <w:spacing w:after="240"/>
        <w:jc w:val="center"/>
      </w:pPr>
      <w:r>
        <w:rPr>
          <w:rFonts w:ascii="Times New Roman" w:cs="Times New Roman" w:eastAsia="Times New Roman" w:hAnsi="Times New Roman"/>
          <w:b w:val="false"/>
          <w:bCs w:val="false"/>
          <w:i w:val="false"/>
          <w:iCs w:val="false"/>
          <w:sz w:val="22"/>
          <w:szCs w:val="22"/>
        </w:rPr>
        <w:t xml:space="preserve">(Décret du 24 février 1984 — édition annotée J.-F. Salès, Presses de l’Université Quisqueya, 1992)</w:t>
      </w:r>
    </w:p>
    <w:p>
      <w:pPr>
        <w:spacing w:after="240"/>
        <w:jc w:val="center"/>
      </w:pPr>
      <w:r>
        <w:rPr>
          <w:rFonts w:ascii="Times New Roman" w:cs="Times New Roman" w:eastAsia="Times New Roman" w:hAnsi="Times New Roman"/>
          <w:b/>
          <w:bCs/>
          <w:i w:val="false"/>
          <w:iCs w:val="false"/>
          <w:sz w:val="30"/>
          <w:szCs w:val="30"/>
        </w:rPr>
        <w:t xml:space="preserve">Relevé analytique des délais en matière de procédure</w:t>
      </w:r>
    </w:p>
    <w:p>
      <w:pPr>
        <w:spacing w:after="120"/>
        <w:jc w:val="center"/>
      </w:pPr>
      <w:r>
        <w:rPr>
          <w:rFonts w:ascii="Times New Roman" w:cs="Times New Roman" w:eastAsia="Times New Roman" w:hAnsi="Times New Roman"/>
          <w:b w:val="false"/>
          <w:bCs w:val="false"/>
          <w:i/>
          <w:iCs/>
          <w:sz w:val="24"/>
          <w:szCs w:val="24"/>
        </w:rPr>
        <w:t xml:space="preserve">Extraction systématique — Pipeline Lam</w:t>
      </w:r>
    </w:p>
    <w:p>
      <w:pPr>
        <w:spacing w:after="120"/>
        <w:jc w:val="center"/>
      </w:pPr>
      <w:r>
        <w:rPr>
          <w:rFonts w:ascii="Times New Roman" w:cs="Times New Roman" w:eastAsia="Times New Roman" w:hAnsi="Times New Roman"/>
          <w:b w:val="false"/>
          <w:bCs w:val="false"/>
          <w:i w:val="false"/>
          <w:iCs w:val="false"/>
          <w:sz w:val="22"/>
          <w:szCs w:val="22"/>
        </w:rPr>
        <w:t xml:space="preserve">Août 2026</w:t>
      </w:r>
    </w:p>
    <w:p>
      <w:pPr>
        <w:pageBreakBefore/>
      </w:pPr>
    </w:p>
    <w:p>
      <w:pPr>
        <w:pStyle w:val="Heading1"/>
        <w:spacing w:after="160" w:before="320"/>
      </w:pPr>
      <w:r>
        <w:rPr>
          <w:rFonts w:ascii="Times New Roman" w:cs="Times New Roman" w:eastAsia="Times New Roman" w:hAnsi="Times New Roman"/>
          <w:b/>
          <w:bCs/>
          <w:color w:val="1C1B3A"/>
          <w:sz w:val="28"/>
          <w:szCs w:val="28"/>
        </w:rPr>
        <w:t xml:space="preserve">I. Règles générales de computation</w:t>
      </w:r>
    </w:p>
    <w:p>
      <w:pPr>
        <w:spacing w:after="120"/>
        <w:jc w:val="both"/>
      </w:pPr>
      <w:r>
        <w:rPr>
          <w:rFonts w:ascii="Times New Roman" w:cs="Times New Roman" w:eastAsia="Times New Roman" w:hAnsi="Times New Roman"/>
          <w:b/>
          <w:bCs/>
          <w:i w:val="false"/>
          <w:iCs w:val="false"/>
          <w:sz w:val="24"/>
          <w:szCs w:val="24"/>
        </w:rPr>
        <w:t xml:space="preserve">Article 511 — Franchise générale. </w:t>
      </w:r>
      <w:r>
        <w:rPr>
          <w:rFonts w:ascii="Times New Roman" w:cs="Times New Roman" w:eastAsia="Times New Roman" w:hAnsi="Times New Roman"/>
          <w:b w:val="false"/>
          <w:bCs w:val="false"/>
          <w:i w:val="false"/>
          <w:iCs w:val="false"/>
          <w:sz w:val="24"/>
          <w:szCs w:val="24"/>
        </w:rPr>
        <w:t xml:space="preserve">« Tous les délais de procédure prévus au Code du Travail sont francs. Le délai franc est celui dans lequel ne se compte ni le jour du départ ni le jour de l’échéance. Les délais légaux sont prorogés d’un jour si le dernier jour est un dimanche ou un jour férié légal ou prescrit par Arrêté Présidentiel. » Cette disposition générale rend franche la totalité des délais procéduraux du Code, y compris ceux qui ne portent pas expressément la mention « franc ».</w:t>
      </w:r>
    </w:p>
    <w:p>
      <w:pPr>
        <w:spacing w:after="120"/>
        <w:jc w:val="both"/>
      </w:pPr>
      <w:r>
        <w:rPr>
          <w:rFonts w:ascii="Times New Roman" w:cs="Times New Roman" w:eastAsia="Times New Roman" w:hAnsi="Times New Roman"/>
          <w:b/>
          <w:bCs/>
          <w:i w:val="false"/>
          <w:iCs w:val="false"/>
          <w:sz w:val="24"/>
          <w:szCs w:val="24"/>
        </w:rPr>
        <w:t xml:space="preserve">Article 512 — Heures utiles des significations et exécutions. </w:t>
      </w:r>
      <w:r>
        <w:rPr>
          <w:rFonts w:ascii="Times New Roman" w:cs="Times New Roman" w:eastAsia="Times New Roman" w:hAnsi="Times New Roman"/>
          <w:b w:val="false"/>
          <w:bCs w:val="false"/>
          <w:i w:val="false"/>
          <w:iCs w:val="false"/>
          <w:sz w:val="24"/>
          <w:szCs w:val="24"/>
        </w:rPr>
        <w:t xml:space="preserve">Aucune signification ni exécution ne peut être faite avant huit heures du matin ni après cinq heures du soir (8 h – 17 h), non plus que les dimanches et jours fériés chômés, à peine de nullité. La Cour de cassation y voit une nullité radicale, expresse et formelle (Cass., 25 juillet 1986, Le Ciment d’Haïti S.A. c. Gelin).</w:t>
      </w:r>
    </w:p>
    <w:p>
      <w:pPr>
        <w:spacing w:after="120"/>
        <w:jc w:val="both"/>
      </w:pPr>
      <w:r>
        <w:rPr>
          <w:rFonts w:ascii="Times New Roman" w:cs="Times New Roman" w:eastAsia="Times New Roman" w:hAnsi="Times New Roman"/>
          <w:b/>
          <w:bCs/>
          <w:i w:val="false"/>
          <w:iCs w:val="false"/>
          <w:sz w:val="24"/>
          <w:szCs w:val="24"/>
        </w:rPr>
        <w:t xml:space="preserve">Consigne utilisateur — divergence signalée. </w:t>
      </w:r>
      <w:r>
        <w:rPr>
          <w:rFonts w:ascii="Times New Roman" w:cs="Times New Roman" w:eastAsia="Times New Roman" w:hAnsi="Times New Roman"/>
          <w:b w:val="false"/>
          <w:bCs w:val="false"/>
          <w:i w:val="false"/>
          <w:iCs w:val="false"/>
          <w:sz w:val="24"/>
          <w:szCs w:val="24"/>
        </w:rPr>
        <w:t xml:space="preserve">La consigne reçue pour le présent relevé indique que les délais en matière de travail se computent en jours francs sur une journée utile de 6 h a.m. à 4 h p.m. (16 h). Le texte de l’article 512 de la présente édition porte, quant à lui, une plage de 8 h a.m. à 5 h p.m. pour les significations et exécutions. Conformément au protocole du pipeline, la divergence est préservée et signalée : la règle des jours francs (art. 511) est confirmée par le texte ; la plage horaire 6 h – 16 h relève de la consigne de l’utilisatrice et pourra correspondre à une pratique ou à un texte distinct à vérifier.</w:t>
      </w:r>
    </w:p>
    <w:p>
      <w:pPr>
        <w:spacing w:after="120"/>
        <w:jc w:val="both"/>
      </w:pPr>
      <w:r>
        <w:rPr>
          <w:rFonts w:ascii="Times New Roman" w:cs="Times New Roman" w:eastAsia="Times New Roman" w:hAnsi="Times New Roman"/>
          <w:b/>
          <w:bCs/>
          <w:i w:val="false"/>
          <w:iCs w:val="false"/>
          <w:sz w:val="24"/>
          <w:szCs w:val="24"/>
        </w:rPr>
        <w:t xml:space="preserve">Délais de distance. </w:t>
      </w:r>
      <w:r>
        <w:rPr>
          <w:rFonts w:ascii="Times New Roman" w:cs="Times New Roman" w:eastAsia="Times New Roman" w:hAnsi="Times New Roman"/>
          <w:b w:val="false"/>
          <w:bCs w:val="false"/>
          <w:i w:val="false"/>
          <w:iCs w:val="false"/>
          <w:sz w:val="24"/>
          <w:szCs w:val="24"/>
        </w:rPr>
        <w:t xml:space="preserve">Les recours contre les amendes de l’OFATMA et de l’ONA s’exercent « outre les délais de distance » (loi assurance, art. 81 ; loi ONA, art. 225). Devant la Cour de cassation, l’éloignement est traité par des délais différenciés : 8 jours francs (résident en Haïti), 15 jours francs (Antilles), 22 jours francs (au-delà de l’un ou l’autre océan) — art. 508.</w:t>
      </w:r>
    </w:p>
    <w:p>
      <w:pPr>
        <w:pStyle w:val="Heading1"/>
        <w:spacing w:after="160" w:before="320"/>
      </w:pPr>
      <w:r>
        <w:rPr>
          <w:rFonts w:ascii="Times New Roman" w:cs="Times New Roman" w:eastAsia="Times New Roman" w:hAnsi="Times New Roman"/>
          <w:b/>
          <w:bCs/>
          <w:color w:val="1C1B3A"/>
          <w:sz w:val="28"/>
          <w:szCs w:val="28"/>
        </w:rPr>
        <w:t xml:space="preserve">II. Conciliation préalable — conflits individuels (Direction du Travail)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2500"/>
        <w:gridCol w:w="1750"/>
        <w:gridCol w:w="3860"/>
      </w:tblGrid>
      <w:tr>
        <w:trPr>
          <w:tblHeader/>
        </w:trPr>
        <w:tc>
          <w:tcPr>
            <w:tcW w:type="dxa" w:w="1250"/>
            <w:shd w:fill="F6F4EE"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Référence</w:t>
            </w:r>
          </w:p>
        </w:tc>
        <w:tc>
          <w:tcPr>
            <w:tcW w:type="dxa" w:w="2500"/>
            <w:shd w:fill="F6F4EE"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Acte / objet</w:t>
            </w:r>
          </w:p>
        </w:tc>
        <w:tc>
          <w:tcPr>
            <w:tcW w:type="dxa" w:w="1750"/>
            <w:shd w:fill="F6F4EE"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Délai</w:t>
            </w:r>
          </w:p>
        </w:tc>
        <w:tc>
          <w:tcPr>
            <w:tcW w:type="dxa" w:w="3860"/>
            <w:shd w:fill="F6F4EE"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Point de départ / observations</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Art. 164</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Saisine de la Direction du Travail (réclamations de salaires, assimilés ou autres dus)</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6 mois</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À partir de la rupture du contrat ou du non-paiement. Passé ce délai, irrecevabilité pour la conciliation par amiable composition ; les réclamations produites après six mois sont portées directement devant le Tribunal de travail (jur. constante : Cass., 22 mars 1966 ; 7 déc. 1966 ; 28 juill. 1976).</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Art. 166</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Convocation de l’autre partie pour la conciliation</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24 heures</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De la saisine ; en cas de non-comparution : deuxième convocation, puis injonction écrite de se présenter dans les 24 heures ; refus constaté par procès-verbal et déféré au Tribunal de travail (amende de l’art. 158).</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Art. 168–169</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Paiement de la créance reconnue</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Délai raisonnable fixé par la DT</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À l’expiration, injonction de payer ; nouveau refus : procès-verbal et renvoi au Tribunal de travail.</w:t>
            </w:r>
          </w:p>
        </w:tc>
      </w:tr>
    </w:tbl>
    <w:p>
      <w:pPr>
        <w:pStyle w:val="Heading1"/>
        <w:spacing w:after="160" w:before="320"/>
      </w:pPr>
      <w:r>
        <w:rPr>
          <w:rFonts w:ascii="Times New Roman" w:cs="Times New Roman" w:eastAsia="Times New Roman" w:hAnsi="Times New Roman"/>
          <w:b/>
          <w:bCs/>
          <w:color w:val="1C1B3A"/>
          <w:sz w:val="28"/>
          <w:szCs w:val="28"/>
        </w:rPr>
        <w:t xml:space="preserve">III. Conflits collectifs — règlement direct, conciliation, arbitrage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2500"/>
        <w:gridCol w:w="1750"/>
        <w:gridCol w:w="3860"/>
      </w:tblGrid>
      <w:tr>
        <w:trPr>
          <w:tblHeader/>
        </w:trPr>
        <w:tc>
          <w:tcPr>
            <w:tcW w:type="dxa" w:w="1250"/>
            <w:shd w:fill="F6F4EE"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Référence</w:t>
            </w:r>
          </w:p>
        </w:tc>
        <w:tc>
          <w:tcPr>
            <w:tcW w:type="dxa" w:w="2500"/>
            <w:shd w:fill="F6F4EE"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Acte / objet</w:t>
            </w:r>
          </w:p>
        </w:tc>
        <w:tc>
          <w:tcPr>
            <w:tcW w:type="dxa" w:w="1750"/>
            <w:shd w:fill="F6F4EE"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Délai</w:t>
            </w:r>
          </w:p>
        </w:tc>
        <w:tc>
          <w:tcPr>
            <w:tcW w:type="dxa" w:w="3860"/>
            <w:shd w:fill="F6F4EE"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Point de départ / observations</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Art. 172</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Réponse concrète aux revendications (règlement direct)</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10 jours</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De l’ouverture des négociations, si une partie l’exige.</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Art. 173</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Transmission du procès-verbal d’accord à la Direction du Travail</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3 jours</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Suivant la signature, aux soins de la partie la plus diligente.</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Art. 178</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Intervention de la Direction du Travail en amiable compositeur</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24 heures</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De la réception de la requête énumérant les doléances.</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Art. 179</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Durée maximale de la procédure de conciliation</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8 jours</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Devant le Service de conciliation de la Direction du Travail.</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Art. 181</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Transmission du procès-verbal de non-conciliation (Tribunal de travail ou Comité d’arbitrage)</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24 heures</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Après l’échec de la conciliation ; la sentence arbitrale lie les parties pour la durée qu’elle détermine, laquelle ne peut être inférieure à 6 mois.</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Art. 194</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Recours devant le Conseil supérieur d’arbitrage</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5 jours francs</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À partir du prononcé de la sentence du Comité d’arbitrage ; recours non suspensif.</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Art. 195</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Copie du recours à la partie adverse</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Même délai de 5 jours</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À peine d’irrecevabilité ; recours par lettre recommandée avec avis de réception au Ministre des Affaires sociales.</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Art. 197</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Dépôt de mémoire devant le Conseil supérieur d’arbitrage</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48 heures</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De l’audition définitive de l’affaire.</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Art. 198</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Prononcé des arrêts du Conseil supérieur d’arbitrage</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8 jours</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De l’audition ; arrêts revêtus du mandement exécutoire.</w:t>
            </w:r>
          </w:p>
        </w:tc>
      </w:tr>
    </w:tbl>
    <w:p>
      <w:pPr>
        <w:pStyle w:val="Heading1"/>
        <w:spacing w:after="160" w:before="320"/>
      </w:pPr>
      <w:r>
        <w:rPr>
          <w:rFonts w:ascii="Times New Roman" w:cs="Times New Roman" w:eastAsia="Times New Roman" w:hAnsi="Times New Roman"/>
          <w:b/>
          <w:bCs/>
          <w:color w:val="1C1B3A"/>
          <w:sz w:val="28"/>
          <w:szCs w:val="28"/>
        </w:rPr>
        <w:t xml:space="preserve">IV. Grève et lock-out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2500"/>
        <w:gridCol w:w="1750"/>
        <w:gridCol w:w="3860"/>
      </w:tblGrid>
      <w:tr>
        <w:trPr>
          <w:tblHeader/>
        </w:trPr>
        <w:tc>
          <w:tcPr>
            <w:tcW w:type="dxa" w:w="1250"/>
            <w:shd w:fill="F6F4EE"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Référence</w:t>
            </w:r>
          </w:p>
        </w:tc>
        <w:tc>
          <w:tcPr>
            <w:tcW w:type="dxa" w:w="2500"/>
            <w:shd w:fill="F6F4EE"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Acte / objet</w:t>
            </w:r>
          </w:p>
        </w:tc>
        <w:tc>
          <w:tcPr>
            <w:tcW w:type="dxa" w:w="1750"/>
            <w:shd w:fill="F6F4EE"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Délai</w:t>
            </w:r>
          </w:p>
        </w:tc>
        <w:tc>
          <w:tcPr>
            <w:tcW w:type="dxa" w:w="3860"/>
            <w:shd w:fill="F6F4EE"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Point de départ / observations</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D. (grève/lock-out), art. 2</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Notification préalable de la grève à l’employeur et à la Direction du Travail</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48 heures au moins</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Avant que la grève ne devienne effective ; par le syndicat représentatif ou les délégués ; après épuisement de la négociation directe, de la conciliation et de l’arbitrage.</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Art. 213 ; D., art. 2</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Préavis de lock-out aux travailleurs et à la Direction du Travail</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48 heures</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Ne peut être donné qu’après le prononcé de la sentence du Comité d’arbitrage.</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Art. 206</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Formes secondaires de grève — limites de licéité</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24 heures (grève perlée) ; 1 heure (grève d’avertissement, débrayage)</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Au-delà, la grève est illégale.</w:t>
            </w:r>
          </w:p>
        </w:tc>
      </w:tr>
    </w:tbl>
    <w:p>
      <w:pPr>
        <w:pStyle w:val="Heading1"/>
        <w:spacing w:after="160" w:before="320"/>
      </w:pPr>
      <w:r>
        <w:rPr>
          <w:rFonts w:ascii="Times New Roman" w:cs="Times New Roman" w:eastAsia="Times New Roman" w:hAnsi="Times New Roman"/>
          <w:b/>
          <w:bCs/>
          <w:color w:val="1C1B3A"/>
          <w:sz w:val="28"/>
          <w:szCs w:val="28"/>
        </w:rPr>
        <w:t xml:space="preserve">V. Tribunaux de travail — instance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2500"/>
        <w:gridCol w:w="1750"/>
        <w:gridCol w:w="3860"/>
      </w:tblGrid>
      <w:tr>
        <w:trPr>
          <w:tblHeader/>
        </w:trPr>
        <w:tc>
          <w:tcPr>
            <w:tcW w:type="dxa" w:w="1250"/>
            <w:shd w:fill="F6F4EE"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Référence</w:t>
            </w:r>
          </w:p>
        </w:tc>
        <w:tc>
          <w:tcPr>
            <w:tcW w:type="dxa" w:w="2500"/>
            <w:shd w:fill="F6F4EE"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Acte / objet</w:t>
            </w:r>
          </w:p>
        </w:tc>
        <w:tc>
          <w:tcPr>
            <w:tcW w:type="dxa" w:w="1750"/>
            <w:shd w:fill="F6F4EE"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Délai</w:t>
            </w:r>
          </w:p>
        </w:tc>
        <w:tc>
          <w:tcPr>
            <w:tcW w:type="dxa" w:w="3860"/>
            <w:shd w:fill="F6F4EE"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Point de départ / observations</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Art. 491</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Invitation des parties par le Doyen (saisine sur requête de la Direction du Travail)</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48 heures</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De la réception de la requête ; lettre recommandée avec avis de réception. Délai non fatal, non sanctionné de nullité (Cass., 20 juill. 1966, Silvera c. Fanfan : en matière de travail, aucune nullité sans texte).</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Art. 490</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Ordonnance conservatoire (fermeture d’entreprise, salaires non garantis)</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Extrême urgence</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Sur requête de la Direction du Travail : obstacle à l’enlèvement des meubles et effets jusqu’au règlement définitif.</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Art. 492</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Défaut de comparution</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Sommation à la plus prochaine audience</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Jugement de sommation ni levé ni signifié ; en cas de nouveau refus, jugement en équité non susceptible d’opposition.</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Art. 502</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Prononcé du jugement</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3 jours de l’audition</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Affaires jugées comme sommaires ; expédition transmise aux parties et à la Direction du Travail dans les 48 heures du prononcé, par les soins du greffe.</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Art. 503</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Exécution provisoire</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De droit, sur minute et sans caution</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Pour les chefs de condamnation aux salaires, congés, boni, préavis, pourboires et allocations périodiques (accidents, maladie, maternité).</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Règl. TST, art. 21</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Signature des minutes par les juges</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24 heures</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Si la formalité n’a pas été remplie à l’audience du prononcé ; le greffier ne communique aucun jugement pendant ces 24 heures (art. 28).</w:t>
            </w:r>
          </w:p>
        </w:tc>
      </w:tr>
    </w:tbl>
    <w:p>
      <w:pPr>
        <w:pStyle w:val="Heading1"/>
        <w:spacing w:after="160" w:before="320"/>
      </w:pPr>
      <w:r>
        <w:rPr>
          <w:rFonts w:ascii="Times New Roman" w:cs="Times New Roman" w:eastAsia="Times New Roman" w:hAnsi="Times New Roman"/>
          <w:b/>
          <w:bCs/>
          <w:color w:val="1C1B3A"/>
          <w:sz w:val="28"/>
          <w:szCs w:val="28"/>
        </w:rPr>
        <w:t xml:space="preserve">VI. Pourvoi en cassation (arts. 506–510)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2500"/>
        <w:gridCol w:w="1750"/>
        <w:gridCol w:w="3860"/>
      </w:tblGrid>
      <w:tr>
        <w:trPr>
          <w:tblHeader/>
        </w:trPr>
        <w:tc>
          <w:tcPr>
            <w:tcW w:type="dxa" w:w="1250"/>
            <w:shd w:fill="F6F4EE"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Référence</w:t>
            </w:r>
          </w:p>
        </w:tc>
        <w:tc>
          <w:tcPr>
            <w:tcW w:type="dxa" w:w="2500"/>
            <w:shd w:fill="F6F4EE"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Acte / objet</w:t>
            </w:r>
          </w:p>
        </w:tc>
        <w:tc>
          <w:tcPr>
            <w:tcW w:type="dxa" w:w="1750"/>
            <w:shd w:fill="F6F4EE"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Délai</w:t>
            </w:r>
          </w:p>
        </w:tc>
        <w:tc>
          <w:tcPr>
            <w:tcW w:type="dxa" w:w="3860"/>
            <w:shd w:fill="F6F4EE"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Point de départ / observations</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Art. 506</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Voie de recours unique contre les jugements des tribunaux de travail</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Cassation seulement</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Pour incompétence ratione materiae, excès de pouvoir, violation, fausse interprétation ou fausse application de la loi ; pourvoi suspensif, sauf exécution provisoire de droit (art. 503, al. 2).</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Art. 507</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Déclaration de pourvoi et dépôt au greffe de la Cour</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8 jours francs</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De la signification du jugement, à peine de déchéance : requête signifiée à l’autre partie contenant les moyens du recours ; dans le même délai, dépôt au greffe de la requête signifiée, d’une expédition de la décision et de l’exploit, avec consignation d’une amende de 25 gourdes (salarié dispensé, art. 498).</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Art. 508</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Défenses du défendeur au pourvoi</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8 jours francs (Haïti) ; 15 jours francs (Antilles) ; 22 jours francs (outre-océan)</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De la signification de la requête (au Parquet de la Cour pour les non-résidents) ; requête signifiée au demandeur à domicile réel ou élu et remise des pièces au greffe ; tous ces délais emportent déchéance (jur. : Cass., 26 janv. 1972, Mecklembourg c. Hungatorex, sur le délai de 22 jours).</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Art. 509</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Conclusions du Ministère public</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3 jours francs</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De la réception des dossiers ; la cause est ensuite entendue toutes affaires cessantes, sans remise ni tour de rôle, et l’arrêt est rendu dans la huitaine.</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Art. 510</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Pourvoi contre les jugements avant dire droit</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Différé au jugement du fond</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Jugements définitifs sur incidents, préparatoires et interlocutoires attaquables seulement après et avec le jugement du fond ; les tribunaux de travail passent outre à tout pourvoi prématuré (jur. constante 1963–1979).</w:t>
            </w:r>
          </w:p>
        </w:tc>
      </w:tr>
    </w:tbl>
    <w:p>
      <w:pPr>
        <w:pStyle w:val="Heading1"/>
        <w:spacing w:after="160" w:before="320"/>
      </w:pPr>
      <w:r>
        <w:rPr>
          <w:rFonts w:ascii="Times New Roman" w:cs="Times New Roman" w:eastAsia="Times New Roman" w:hAnsi="Times New Roman"/>
          <w:b/>
          <w:bCs/>
          <w:color w:val="1C1B3A"/>
          <w:sz w:val="28"/>
          <w:szCs w:val="28"/>
        </w:rPr>
        <w:t xml:space="preserve">VII. Prescriptions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2500"/>
        <w:gridCol w:w="1750"/>
        <w:gridCol w:w="3860"/>
      </w:tblGrid>
      <w:tr>
        <w:trPr>
          <w:tblHeader/>
        </w:trPr>
        <w:tc>
          <w:tcPr>
            <w:tcW w:type="dxa" w:w="1250"/>
            <w:shd w:fill="F6F4EE"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Référence</w:t>
            </w:r>
          </w:p>
        </w:tc>
        <w:tc>
          <w:tcPr>
            <w:tcW w:type="dxa" w:w="2500"/>
            <w:shd w:fill="F6F4EE"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Acte / objet</w:t>
            </w:r>
          </w:p>
        </w:tc>
        <w:tc>
          <w:tcPr>
            <w:tcW w:type="dxa" w:w="1750"/>
            <w:shd w:fill="F6F4EE"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Délai</w:t>
            </w:r>
          </w:p>
        </w:tc>
        <w:tc>
          <w:tcPr>
            <w:tcW w:type="dxa" w:w="3860"/>
            <w:shd w:fill="F6F4EE"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Point de départ / observations</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Art. 160</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Action en paiement de salaire</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6 mois</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Point de départ : le temps dans lequel les services ont été fournis, non le jour de la cessation des services (Cass., 3 déc. 1963, Plantation Dauphin ; renvoi à C. civ. 2039 : la prescription a lieu quoiqu’il y ait eu continuation de fournitures et travaux).</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C. civ., art. 2036 (renvoi)</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Action des ouvriers et gens de travail (journées, fournitures, salaires)</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6 mois</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Prescription fondée sur une présomption de paiement : inapplicable lorsque le débiteur nie le principe de la dette ou reconnaît ne pas avoir payé (Cass., 15 juill. 1965 ; 20 mars 1973).</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Jur. (art. 488)</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Action en dommages-intérêts pour rupture illégale ou abusive</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Hors prescription de 6 mois</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L’action indemnitaire n’est pas une réclamation de salaires : la courte prescription ne s’y applique pas (Cass., 26 janv. 1972 ; 9 févr. 1966, Sinclair c. St. Far).</w:t>
            </w:r>
          </w:p>
        </w:tc>
      </w:tr>
    </w:tbl>
    <w:p>
      <w:pPr>
        <w:pStyle w:val="Heading1"/>
        <w:spacing w:after="160" w:before="320"/>
      </w:pPr>
      <w:r>
        <w:rPr>
          <w:rFonts w:ascii="Times New Roman" w:cs="Times New Roman" w:eastAsia="Times New Roman" w:hAnsi="Times New Roman"/>
          <w:b/>
          <w:bCs/>
          <w:color w:val="1C1B3A"/>
          <w:sz w:val="28"/>
          <w:szCs w:val="28"/>
        </w:rPr>
        <w:t xml:space="preserve">VIII. Résiliation du contrat et préavis (incidence procédurale)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2500"/>
        <w:gridCol w:w="1750"/>
        <w:gridCol w:w="3860"/>
      </w:tblGrid>
      <w:tr>
        <w:trPr>
          <w:tblHeader/>
        </w:trPr>
        <w:tc>
          <w:tcPr>
            <w:tcW w:type="dxa" w:w="1250"/>
            <w:shd w:fill="F6F4EE"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Référence</w:t>
            </w:r>
          </w:p>
        </w:tc>
        <w:tc>
          <w:tcPr>
            <w:tcW w:type="dxa" w:w="2500"/>
            <w:shd w:fill="F6F4EE"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Acte / objet</w:t>
            </w:r>
          </w:p>
        </w:tc>
        <w:tc>
          <w:tcPr>
            <w:tcW w:type="dxa" w:w="1750"/>
            <w:shd w:fill="F6F4EE"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Délai</w:t>
            </w:r>
          </w:p>
        </w:tc>
        <w:tc>
          <w:tcPr>
            <w:tcW w:type="dxa" w:w="3860"/>
            <w:shd w:fill="F6F4EE"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Point de départ / observations</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Arts. 42–43</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Information de la Direction du Travail (résiliation pour motif légitime)</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Préalable</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L’employeur qui invoque un motif de l’art. 42 en informe la Direction du Travail, qui fait mener une enquête par l’Inspection générale ; l’enquête est une mesure jugée indispensable (Cass., 20 janv. 1983, M &amp; S Construction) ; la carence du service étatique ne nuit pas à l’employeur diligent (Cass., 11 déc. 1978, Adam c. Boucard).</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Art. 44</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Préavis (délai-congé) — condition d’ancienneté</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Au moins 3 mois de service consécutifs</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Avis écrit préalable (ou verbal devant deux témoins pour le contrat verbal).</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Art. 45</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Durée du préavis selon l’ancienneté</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15 jours à 4 mois</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3–12 mois de service : 15 jours ; 1–3 ans : 1 mois ; 3–6 ans : 2 mois ; 6–10 ans : 3 mois ; 10 ans et plus : 4 mois.</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Art. 42 c)</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Abandon de poste (motif de résiliation sans responsabilité)</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3 jours consécutifs ou 4 absences dans le mois</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Absences sans autorisation ni motif valable.</w:t>
            </w:r>
          </w:p>
        </w:tc>
      </w:tr>
    </w:tbl>
    <w:p>
      <w:pPr>
        <w:pStyle w:val="Heading1"/>
        <w:spacing w:after="160" w:before="320"/>
      </w:pPr>
      <w:r>
        <w:rPr>
          <w:rFonts w:ascii="Times New Roman" w:cs="Times New Roman" w:eastAsia="Times New Roman" w:hAnsi="Times New Roman"/>
          <w:b/>
          <w:bCs/>
          <w:color w:val="1C1B3A"/>
          <w:sz w:val="28"/>
          <w:szCs w:val="28"/>
        </w:rPr>
        <w:t xml:space="preserve">IX. Formalités administratives à délai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2500"/>
        <w:gridCol w:w="1750"/>
        <w:gridCol w:w="3860"/>
      </w:tblGrid>
      <w:tr>
        <w:trPr>
          <w:tblHeader/>
        </w:trPr>
        <w:tc>
          <w:tcPr>
            <w:tcW w:type="dxa" w:w="1250"/>
            <w:shd w:fill="F6F4EE"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Référence</w:t>
            </w:r>
          </w:p>
        </w:tc>
        <w:tc>
          <w:tcPr>
            <w:tcW w:type="dxa" w:w="2500"/>
            <w:shd w:fill="F6F4EE"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Acte / objet</w:t>
            </w:r>
          </w:p>
        </w:tc>
        <w:tc>
          <w:tcPr>
            <w:tcW w:type="dxa" w:w="1750"/>
            <w:shd w:fill="F6F4EE"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Délai</w:t>
            </w:r>
          </w:p>
        </w:tc>
        <w:tc>
          <w:tcPr>
            <w:tcW w:type="dxa" w:w="3860"/>
            <w:shd w:fill="F6F4EE"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Point de départ / observations</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Art. 63</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Enregistrement du contrat collectif de travail à la Direction du Travail</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8 jours de la signature</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Effet à compter de l’enregistrement ; publication dans un quotidien 10 jours au plus après l’enregistrement ; applicable aux adhésions et extensions (art. 64).</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Art. 232</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Enregistrement des syndicats à la Direction du Travail</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60 jours ouvrables</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À partir de la constitution ; condition de la constitution légale.</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Art. 253</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Amende contre le syndicat non conforme</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Après 15 jours francs</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De l’envoi de l’avertissement écrit notifié avec avis de réception ; amende de 200 à 500 gourdes par infraction, prononcée par le Tribunal de travail.</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Art. 391</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Déclaration d’entreprise à la Direction du Travail</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8 jours</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À partir de l’ouverture de l’établissement (formulaires gratuits).</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Règl. inspection, art. 427</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Rapport d’inspection</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3 jours au maximum</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Après chaque visite d’inspection, selon le formulaire adopté.</w:t>
            </w:r>
          </w:p>
        </w:tc>
      </w:tr>
    </w:tbl>
    <w:p>
      <w:pPr>
        <w:pStyle w:val="Heading1"/>
        <w:spacing w:after="160" w:before="320"/>
      </w:pPr>
      <w:r>
        <w:rPr>
          <w:rFonts w:ascii="Times New Roman" w:cs="Times New Roman" w:eastAsia="Times New Roman" w:hAnsi="Times New Roman"/>
          <w:b/>
          <w:bCs/>
          <w:color w:val="1C1B3A"/>
          <w:sz w:val="28"/>
          <w:szCs w:val="28"/>
        </w:rPr>
        <w:t xml:space="preserve">X. Sécurité sociale — OFATMA, ONA, assurance maternité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2500"/>
        <w:gridCol w:w="1750"/>
        <w:gridCol w:w="3860"/>
      </w:tblGrid>
      <w:tr>
        <w:trPr>
          <w:tblHeader/>
        </w:trPr>
        <w:tc>
          <w:tcPr>
            <w:tcW w:type="dxa" w:w="1250"/>
            <w:shd w:fill="F6F4EE"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Référence</w:t>
            </w:r>
          </w:p>
        </w:tc>
        <w:tc>
          <w:tcPr>
            <w:tcW w:type="dxa" w:w="2500"/>
            <w:shd w:fill="F6F4EE"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Acte / objet</w:t>
            </w:r>
          </w:p>
        </w:tc>
        <w:tc>
          <w:tcPr>
            <w:tcW w:type="dxa" w:w="1750"/>
            <w:shd w:fill="F6F4EE"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Délai</w:t>
            </w:r>
          </w:p>
        </w:tc>
        <w:tc>
          <w:tcPr>
            <w:tcW w:type="dxa" w:w="3860"/>
            <w:shd w:fill="F6F4EE" w:val="clear"/>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Point de départ / observations</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Loi assurance, art. 168</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Avis d’accident du travail donné par le travailleur à l’OFATMA</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30 jours</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Après l’accident, si l’employeur néglige de le faire ; à défaut, déchéance de toute compensation pécuniaire (les prestations médicales restent acquises).</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Art. 172</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Transmission par l’employeur du formulaire de maladie professionnelle</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5 jours</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De l’avertissement donné sans délai par le travailleur.</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Art. 173</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Avis de la maladie professionnelle par le travailleur</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30 jours</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Si l’employeur néglige de le faire ; passé ce délai, aucune compensation pécuniaire (soins médicaux préservés).</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Art. 81</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Réclamation contre une amende de l’OFATMA</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5 jours max. + délais de distance</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À dater de la notification de l’amende ; paiement intégral préalable exigé ; portée devant le Tribunal de travail de la juridiction de l’employeur, jugée comme affaire sommaire.</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Art. 82</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Recours contre les décisions de l’OFATMA (assujettissement, cotisations, prestations)</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Non suspensif</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Devant le Tribunal de travail de la juridiction de l’employeur.</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Loi ONA, art. 225</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Recours contre les amendes de l’ONA</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5 jours max. + délais de distance</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Paiement intégral préalable ; devant le Tribunal de travail du domicile de l’employeur, affaire sommaire ; recours non suspensifs (art. 227).</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Loi ONA (cotisations)</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Versement des cotisations mensuelles à l’ONA</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10 premiers jours ouvrables du mois</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Obligation de l’employeur.</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Assurance maternité</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Avis de grossesse au service d’Assurance maternité</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8 jours</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Sous peine d’amende ; l’indemnité est intégralement payée dans les 30 jours ; premier terme payé par l’employeur dans un délai maximum d’un mois.</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ONA (assurance volontaire)</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Demande de maintien en assurance volontaire</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sz w:val="22"/>
                <w:szCs w:val="22"/>
              </w:rPr>
              <w:t xml:space="preserve">2 mois</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2"/>
                <w:szCs w:val="22"/>
              </w:rPr>
              <w:t xml:space="preserve">Pour conserver les droits acquis ; au-delà, réintégration sur nouvelle demande.</w:t>
            </w:r>
          </w:p>
        </w:tc>
      </w:tr>
    </w:tbl>
    <w:p>
      <w:pPr>
        <w:pStyle w:val="Heading1"/>
        <w:spacing w:after="160" w:before="320"/>
      </w:pPr>
      <w:r>
        <w:rPr>
          <w:rFonts w:ascii="Times New Roman" w:cs="Times New Roman" w:eastAsia="Times New Roman" w:hAnsi="Times New Roman"/>
          <w:b/>
          <w:bCs/>
          <w:color w:val="1C1B3A"/>
          <w:sz w:val="28"/>
          <w:szCs w:val="28"/>
        </w:rPr>
        <w:t xml:space="preserve">Observations de synthèse</w:t>
      </w:r>
    </w:p>
    <w:p>
      <w:pPr>
        <w:spacing w:after="120"/>
        <w:jc w:val="both"/>
      </w:pPr>
      <w:r>
        <w:rPr>
          <w:rFonts w:ascii="Times New Roman" w:cs="Times New Roman" w:eastAsia="Times New Roman" w:hAnsi="Times New Roman"/>
          <w:b w:val="false"/>
          <w:bCs w:val="false"/>
          <w:i w:val="false"/>
          <w:iCs w:val="false"/>
          <w:sz w:val="24"/>
          <w:szCs w:val="24"/>
        </w:rPr>
        <w:t xml:space="preserve">1. Architecture du contentieux. Le contentieux du travail obéit à un schéma en trois temps : conciliation obligatoire devant la Direction du Travail (saisine dans les six mois de l’art. 164, à peine d’irrecevabilité de l’amiable composition), instance sommaire devant le Tribunal de travail (jugement à trois jours de l’audition, expédition à quarante-huit heures), et cassation comme voie de recours unique (huitaine franche de l’art. 507, défenses graduées de l’art. 508). Ni appel ni, en principe, opposition (art. 492 in fine) : la célérité et la protection du travailleur, économiquement faible, gouvernent la matière (Cass., 3 déc. 1963).</w:t>
      </w:r>
    </w:p>
    <w:p>
      <w:pPr>
        <w:spacing w:after="120"/>
        <w:jc w:val="both"/>
      </w:pPr>
      <w:r>
        <w:rPr>
          <w:rFonts w:ascii="Times New Roman" w:cs="Times New Roman" w:eastAsia="Times New Roman" w:hAnsi="Times New Roman"/>
          <w:b w:val="false"/>
          <w:bCs w:val="false"/>
          <w:i w:val="false"/>
          <w:iCs w:val="false"/>
          <w:sz w:val="24"/>
          <w:szCs w:val="24"/>
        </w:rPr>
        <w:t xml:space="preserve">2. Régime des nullités. La matière du travail étant un droit spécial et exceptionnel, aucune nullité ne peut être prononcée sans avoir été expressément édictée (Cass., 20 juill. 1966) : le délai de quarante-huit heures de l’art. 491 n’est pas fatal, tandis que les significations faites hors des heures et jours utiles de l’art. 512 sont frappées de nullité radicale (Cass., 25 juill. 1986) et que les délais de cassation des arts. 507 à 509 emportent déchéance.</w:t>
      </w:r>
    </w:p>
    <w:p>
      <w:pPr>
        <w:spacing w:after="120"/>
        <w:jc w:val="both"/>
      </w:pPr>
      <w:r>
        <w:rPr>
          <w:rFonts w:ascii="Times New Roman" w:cs="Times New Roman" w:eastAsia="Times New Roman" w:hAnsi="Times New Roman"/>
          <w:b w:val="false"/>
          <w:bCs w:val="false"/>
          <w:i w:val="false"/>
          <w:iCs w:val="false"/>
          <w:sz w:val="24"/>
          <w:szCs w:val="24"/>
        </w:rPr>
        <w:t xml:space="preserve">3. Computation. L’article 511 rend francs tous les délais de procédure du Code et les proroge d’un jour lorsque l’échéance tombe un dimanche ou un jour férié. La consigne utilisateur relative à la journée utile de 6 h à 16 h est consignée en tête du relevé, avec signalement de la divergence par rapport à la plage de 8 h – 17 h de l’article 512 pour les significations et exécutions.</w:t>
      </w:r>
    </w:p>
    <w:p>
      <w:pPr>
        <w:spacing w:after="120"/>
        <w:jc w:val="both"/>
      </w:pPr>
      <w:r>
        <w:rPr>
          <w:rFonts w:ascii="Times New Roman" w:cs="Times New Roman" w:eastAsia="Times New Roman" w:hAnsi="Times New Roman"/>
          <w:b w:val="false"/>
          <w:bCs w:val="false"/>
          <w:i w:val="false"/>
          <w:iCs w:val="false"/>
          <w:sz w:val="24"/>
          <w:szCs w:val="24"/>
        </w:rPr>
        <w:t xml:space="preserve">4. Passerelles avec le Code civil. La prescription semestrielle de l’art. 160 s’articule avec l’art. 2036 du Code civil (prescription des salaires des ouvriers et gens de travail) et son fondement de présomption de paiement, écarté lorsque le débiteur conteste le principe même de la dette ; le point de départ court des services fournis et non de la rupture (Cass., 3 déc. 1963), tandis que l’action indemnitaire pour rupture abusive échappe à la courte prescription.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2026-08-19T19:47:30.137Z</dcterms:created>
  <dcterms:modified xsi:type="dcterms:W3CDTF">2026-08-19T19:47:30.150Z</dcterms:modified>
</cp:coreProperties>
</file>

<file path=docProps/custom.xml><?xml version="1.0" encoding="utf-8"?>
<Properties xmlns="http://schemas.openxmlformats.org/officeDocument/2006/custom-properties" xmlns:vt="http://schemas.openxmlformats.org/officeDocument/2006/docPropsVTypes"/>
</file>