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drawing>
          <wp:inline distT="0" distB="0" distL="0" distR="0">
            <wp:extent cx="876300" cy="400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BADAN PUSAT STATISTIK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KABUPATEN SOLOK</w:t>
      </w:r>
    </w:p>
    <w:p>
      <w:pPr>
        <w:spacing w:after="0"/>
        <w:jc w:val="center"/>
      </w:pPr>
      <w:r>
        <w:rPr>
          <w:rFonts w:ascii="Cambria" w:cs="Cambria" w:eastAsia="Cambria" w:hAnsi="Cambria"/>
          <w:b/>
          <w:bCs/>
          <w:sz w:val="24"/>
          <w:szCs w:val="24"/>
          <w:u w:val="single"/>
        </w:rPr>
        <w:t xml:space="preserve">SURAT TUGAS</w:t>
      </w:r>
    </w:p>
    <w:p>
      <w:pPr>
        <w:spacing w:after="200"/>
        <w:jc w:val="center"/>
      </w:pPr>
      <w:r>
        <w:rPr>
          <w:rFonts w:ascii="Cambria" w:cs="Cambria" w:eastAsia="Cambria" w:hAnsi="Cambria"/>
          <w:sz w:val="22"/>
          <w:szCs w:val="22"/>
        </w:rPr>
        <w:t xml:space="preserve">NOMOR : </w:t>
      </w:r>
      <w:r>
        <w:rPr>
          <w:rFonts w:ascii="Cambria" w:cs="Cambria" w:eastAsia="Cambria" w:hAnsi="Cambria"/>
          <w:sz w:val="22"/>
          <w:szCs w:val="22"/>
          <w:highlight w:val="yellow"/>
          <w:highlightCs w:val="yellow"/>
        </w:rPr>
        <w:t xml:space="preserve">B-___/13030/VS.___/2026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00"/>
        <w:gridCol w:w="300"/>
        <w:gridCol w:w="7300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Menimbang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:</w:t>
            </w:r>
          </w:p>
        </w:tc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tabs>
                <w:tab w:val="left" w:pos="425"/>
              </w:tabs>
              <w:spacing w:after="40" w:line="264"/>
              <w:ind w:left="425" w:hanging="425"/>
              <w:jc w:val="both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a.	</w:t>
            </w:r>
            <w:r>
              <w:rPr>
                <w:rFonts w:ascii="Cambria" w:cs="Cambria" w:eastAsia="Cambria" w:hAnsi="Cambria"/>
                <w:sz w:val="22"/>
                <w:szCs w:val="22"/>
              </w:rPr>
              <w:t xml:space="preserve">bahwa dalam rangka pelaksanaan Pendataan Status Pemulihan (PSP) Pascabencana Sumatera 2026 di Kabupaten Solok, diperlukan pendataan lapangan;</w:t>
            </w:r>
          </w:p>
          <w:p>
            <w:pPr>
              <w:tabs>
                <w:tab w:val="left" w:pos="425"/>
              </w:tabs>
              <w:spacing w:after="40" w:line="264"/>
              <w:ind w:left="425" w:hanging="425"/>
              <w:jc w:val="both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b.	</w:t>
            </w:r>
            <w:r>
              <w:rPr>
                <w:rFonts w:ascii="Cambria" w:cs="Cambria" w:eastAsia="Cambria" w:hAnsi="Cambria"/>
                <w:sz w:val="22"/>
                <w:szCs w:val="22"/>
              </w:rPr>
              <w:t xml:space="preserve">bahwa petugas yang namanya tercantum dalam surat tugas ini dinilai mampu dan memenuhi syarat untuk melaksanakan pendataan tersebut;</w:t>
            </w:r>
          </w:p>
          <w:p>
            <w:pPr>
              <w:tabs>
                <w:tab w:val="left" w:pos="425"/>
              </w:tabs>
              <w:spacing w:after="40" w:line="264"/>
              <w:ind w:left="425" w:hanging="425"/>
              <w:jc w:val="both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c.	</w:t>
            </w:r>
            <w:r>
              <w:rPr>
                <w:rFonts w:ascii="Cambria" w:cs="Cambria" w:eastAsia="Cambria" w:hAnsi="Cambria"/>
                <w:sz w:val="22"/>
                <w:szCs w:val="22"/>
              </w:rPr>
              <w:t xml:space="preserve">bahwa berdasarkan pertimbangan sebagaimana dimaksud dalam huruf a dan huruf b, perlu menerbitkan Surat Tugas.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Mengingat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:</w:t>
            </w:r>
          </w:p>
        </w:tc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0"/>
              <w:right w:type="dxa" w:w="0"/>
            </w:tcMar>
          </w:tcPr>
          <w:p>
            <w:pPr>
              <w:tabs>
                <w:tab w:val="left" w:pos="425"/>
              </w:tabs>
              <w:spacing w:after="40" w:line="264"/>
              <w:ind w:left="425" w:hanging="425"/>
              <w:jc w:val="both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1.	</w:t>
            </w:r>
            <w:r>
              <w:rPr>
                <w:rFonts w:ascii="Cambria" w:cs="Cambria" w:eastAsia="Cambria" w:hAnsi="Cambria"/>
                <w:sz w:val="22"/>
                <w:szCs w:val="22"/>
              </w:rPr>
              <w:t xml:space="preserve">Undang-Undang Nomor 16 Tahun 1997 tentang Statistik;</w:t>
            </w:r>
          </w:p>
          <w:p>
            <w:pPr>
              <w:tabs>
                <w:tab w:val="left" w:pos="425"/>
              </w:tabs>
              <w:spacing w:after="40" w:line="264"/>
              <w:ind w:left="425" w:hanging="425"/>
              <w:jc w:val="both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2.	</w:t>
            </w:r>
            <w:r>
              <w:rPr>
                <w:rFonts w:ascii="Cambria" w:cs="Cambria" w:eastAsia="Cambria" w:hAnsi="Cambria"/>
                <w:sz w:val="22"/>
                <w:szCs w:val="22"/>
              </w:rPr>
              <w:t xml:space="preserve">Peraturan Pemerintah Nomor 51 Tahun 1999 tentang Penyelenggaraan Statistik;</w:t>
            </w:r>
          </w:p>
          <w:p>
            <w:pPr>
              <w:tabs>
                <w:tab w:val="left" w:pos="425"/>
              </w:tabs>
              <w:spacing w:after="40" w:line="264"/>
              <w:ind w:left="425" w:hanging="425"/>
              <w:jc w:val="both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3.	</w:t>
            </w:r>
            <w:r>
              <w:rPr>
                <w:rFonts w:ascii="Cambria" w:cs="Cambria" w:eastAsia="Cambria" w:hAnsi="Cambria"/>
                <w:sz w:val="22"/>
                <w:szCs w:val="22"/>
              </w:rPr>
              <w:t xml:space="preserve">Peraturan Presiden Nomor 86 Tahun 2007 tentang Badan Pusat Statistik;</w:t>
            </w:r>
          </w:p>
          <w:p>
            <w:pPr>
              <w:tabs>
                <w:tab w:val="left" w:pos="425"/>
              </w:tabs>
              <w:spacing w:after="40" w:line="264"/>
              <w:ind w:left="425" w:hanging="425"/>
              <w:jc w:val="both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4.	</w:t>
            </w:r>
            <w:r>
              <w:rPr>
                <w:rFonts w:ascii="Cambria" w:cs="Cambria" w:eastAsia="Cambria" w:hAnsi="Cambria"/>
                <w:sz w:val="22"/>
                <w:szCs w:val="22"/>
              </w:rPr>
              <w:t xml:space="preserve">Peraturan Badan Pusat Statistik Nomor 5 Tahun 2019 tentang Tata Naskah Dinas di Lingkungan Badan Pusat Statistik;</w:t>
            </w:r>
          </w:p>
          <w:p>
            <w:pPr>
              <w:tabs>
                <w:tab w:val="left" w:pos="425"/>
              </w:tabs>
              <w:spacing w:after="40" w:line="264"/>
              <w:ind w:left="425" w:hanging="425"/>
              <w:jc w:val="both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5.	</w:t>
            </w:r>
            <w:r>
              <w:rPr>
                <w:rFonts w:ascii="Cambria" w:cs="Cambria" w:eastAsia="Cambria" w:hAnsi="Cambria"/>
                <w:sz w:val="22"/>
                <w:szCs w:val="22"/>
              </w:rPr>
              <w:t xml:space="preserve">Peraturan Badan Pusat Statistik Nomor 5 Tahun 2023 tentang Organisasi dan Tata Kerja Badan Pusat Statistik Provinsi dan Badan Pusat Statistik Kabupaten/Kota;</w:t>
            </w:r>
          </w:p>
          <w:p>
            <w:pPr>
              <w:tabs>
                <w:tab w:val="left" w:pos="425"/>
              </w:tabs>
              <w:spacing w:after="40" w:line="264"/>
              <w:ind w:left="425" w:hanging="425"/>
              <w:jc w:val="both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6.	</w:t>
            </w:r>
            <w:r>
              <w:rPr>
                <w:rFonts w:ascii="Cambria" w:cs="Cambria" w:eastAsia="Cambria" w:hAnsi="Cambria"/>
                <w:sz w:val="22"/>
                <w:szCs w:val="22"/>
              </w:rPr>
              <w:t xml:space="preserve">Peraturan Badan Pusat Statistik Nomor 2 Tahun 2025 tentang Organisasi dan Tata Kerja Badan Pusat Statistik;</w:t>
            </w:r>
          </w:p>
          <w:p>
            <w:pPr>
              <w:tabs>
                <w:tab w:val="left" w:pos="425"/>
              </w:tabs>
              <w:spacing w:after="40" w:line="264"/>
              <w:ind w:left="425" w:hanging="425"/>
              <w:jc w:val="both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7.	</w:t>
            </w:r>
            <w:r>
              <w:rPr>
                <w:rFonts w:ascii="Cambria" w:cs="Cambria" w:eastAsia="Cambria" w:hAnsi="Cambria"/>
                <w:sz w:val="22"/>
                <w:szCs w:val="22"/>
              </w:rPr>
              <w:t xml:space="preserve">Keputusan Presiden Republik Indonesia Nomor 1 Tahun 2026 tentang Satuan Tugas Percepatan Rehabilitasi dan Rekonstruksi Pascabencana Alam di Provinsi Aceh, Provinsi Sumatera Utara, dan Provinsi Sumatera Barat;</w:t>
            </w:r>
          </w:p>
          <w:p>
            <w:pPr>
              <w:tabs>
                <w:tab w:val="left" w:pos="425"/>
              </w:tabs>
              <w:spacing w:after="40" w:line="264"/>
              <w:ind w:left="425" w:hanging="425"/>
              <w:jc w:val="both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8.	</w:t>
            </w:r>
            <w:r>
              <w:rPr>
                <w:rFonts w:ascii="Cambria" w:cs="Cambria" w:eastAsia="Cambria" w:hAnsi="Cambria"/>
                <w:sz w:val="22"/>
                <w:szCs w:val="22"/>
              </w:rPr>
              <w:t xml:space="preserve">Surat Nomor B-381/04300/VS.300/2026 tanggal 22 September 2026 hal Jadwal dan Analisis Kebutuhan Pendataan Status Pemulihan Pascabencana Sumatera Tahun 2026.</w:t>
            </w:r>
          </w:p>
        </w:tc>
      </w:tr>
    </w:tbl>
    <w:p>
      <w:pPr>
        <w:keepNext/>
        <w:spacing w:after="140" w:before="160"/>
        <w:jc w:val="center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Memberi Tugas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00"/>
        <w:gridCol w:w="300"/>
        <w:gridCol w:w="7300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Kepada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:</w:t>
            </w:r>
          </w:p>
        </w:tc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 w:line="264"/>
              <w:jc w:val="left"/>
            </w:pPr>
            <w:r>
              <w:rPr>
                <w:rFonts w:ascii="Cambria" w:cs="Cambria" w:eastAsia="Cambria" w:hAnsi="Cambria"/>
                <w:sz w:val="22"/>
                <w:szCs w:val="22"/>
                <w:highlight w:val="yellow"/>
                <w:highlightCs w:val="yellow"/>
              </w:rPr>
              <w:t xml:space="preserve">[Nama Petugas]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Untuk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:</w:t>
            </w:r>
          </w:p>
        </w:tc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after="40" w:line="264"/>
              <w:jc w:val="both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Melaksanakan pendataan lapangan Pendataan Status Pemulihan (PSP) Pascabencana Sumatera 2026 sebagai </w:t>
            </w:r>
            <w:r>
              <w:rPr>
                <w:rFonts w:ascii="Cambria" w:cs="Cambria" w:eastAsia="Cambria" w:hAnsi="Cambria"/>
                <w:sz w:val="22"/>
                <w:szCs w:val="22"/>
                <w:highlight w:val="yellow"/>
                <w:highlightCs w:val="yellow"/>
              </w:rPr>
              <w:t xml:space="preserve">[Petugas Pendataan Lapangan (PPL) / Petugas Pemeriksa Lapangan (PML)]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Tujuan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:</w:t>
            </w:r>
          </w:p>
        </w:tc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after="40" w:line="264"/>
              <w:jc w:val="left"/>
            </w:pPr>
            <w:r>
              <w:rPr>
                <w:rFonts w:ascii="Cambria" w:cs="Cambria" w:eastAsia="Cambria" w:hAnsi="Cambria"/>
                <w:sz w:val="22"/>
                <w:szCs w:val="22"/>
                <w:highlight w:val="yellow"/>
                <w:highlightCs w:val="yellow"/>
              </w:rPr>
              <w:t xml:space="preserve">[Kecamatan / Nagari tujuan]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Tanggal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:</w:t>
            </w:r>
          </w:p>
        </w:tc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after="40" w:line="264"/>
              <w:jc w:val="left"/>
            </w:pPr>
            <w:r>
              <w:rPr>
                <w:rFonts w:ascii="Cambria" w:cs="Cambria" w:eastAsia="Cambria" w:hAnsi="Cambria"/>
                <w:sz w:val="22"/>
                <w:szCs w:val="22"/>
                <w:highlight w:val="yellow"/>
                <w:highlightCs w:val="yellow"/>
              </w:rPr>
              <w:t xml:space="preserve">[tanggal mulai]</w:t>
            </w:r>
            <w:r>
              <w:rPr>
                <w:rFonts w:ascii="Cambria" w:cs="Cambria" w:eastAsia="Cambria" w:hAnsi="Cambria"/>
                <w:sz w:val="22"/>
                <w:szCs w:val="22"/>
              </w:rPr>
              <w:t xml:space="preserve"> – </w:t>
            </w:r>
            <w:r>
              <w:rPr>
                <w:rFonts w:ascii="Cambria" w:cs="Cambria" w:eastAsia="Cambria" w:hAnsi="Cambria"/>
                <w:sz w:val="22"/>
                <w:szCs w:val="22"/>
                <w:highlight w:val="yellow"/>
                <w:highlightCs w:val="yellow"/>
              </w:rPr>
              <w:t xml:space="preserve">[tanggal selesai]</w:t>
            </w:r>
            <w:r>
              <w:rPr>
                <w:rFonts w:ascii="Cambria" w:cs="Cambria" w:eastAsia="Cambria" w:hAnsi="Cambria"/>
                <w:sz w:val="22"/>
                <w:szCs w:val="22"/>
              </w:rPr>
              <w:t xml:space="preserve"> 2026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Mata Anggaran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:</w:t>
            </w:r>
          </w:p>
        </w:tc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after="0" w:line="264"/>
              <w:jc w:val="left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2907.BMA.009 Publikasi/Laporan Data Tunggal Bencana</w:t>
            </w:r>
          </w:p>
          <w:p>
            <w:pPr>
              <w:spacing w:after="0" w:line="264"/>
              <w:jc w:val="left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Komponen 052 Pengumpulan Data</w:t>
            </w:r>
          </w:p>
          <w:p>
            <w:pPr>
              <w:spacing w:after="0" w:line="264"/>
              <w:jc w:val="left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Akun 524113 Belanja Perjalanan Dinas Dalam Kota</w:t>
            </w:r>
          </w:p>
        </w:tc>
      </w:tr>
    </w:tbl>
    <w:p>
      <w:pPr>
        <w:keepNext/>
        <w:spacing w:after="0" w:before="240"/>
        <w:ind w:left="5400"/>
      </w:pPr>
      <w:r>
        <w:rPr>
          <w:rFonts w:ascii="Cambria" w:cs="Cambria" w:eastAsia="Cambria" w:hAnsi="Cambria"/>
          <w:sz w:val="22"/>
          <w:szCs w:val="22"/>
        </w:rPr>
        <w:t xml:space="preserve">Kayu Aro, </w:t>
      </w:r>
      <w:r>
        <w:rPr>
          <w:rFonts w:ascii="Cambria" w:cs="Cambria" w:eastAsia="Cambria" w:hAnsi="Cambria"/>
          <w:sz w:val="22"/>
          <w:szCs w:val="22"/>
          <w:highlight w:val="yellow"/>
          <w:highlightCs w:val="yellow"/>
        </w:rPr>
        <w:t xml:space="preserve">[tanggal]</w:t>
      </w:r>
      <w:r>
        <w:rPr>
          <w:rFonts w:ascii="Cambria" w:cs="Cambria" w:eastAsia="Cambria" w:hAnsi="Cambria"/>
          <w:sz w:val="22"/>
          <w:szCs w:val="22"/>
        </w:rPr>
        <w:t xml:space="preserve"> Oktober 2026</w:t>
      </w:r>
    </w:p>
    <w:p>
      <w:pPr>
        <w:keepNext/>
        <w:spacing w:after="0"/>
        <w:ind w:left="5400"/>
      </w:pPr>
      <w:r>
        <w:rPr>
          <w:rFonts w:ascii="Cambria" w:cs="Cambria" w:eastAsia="Cambria" w:hAnsi="Cambria"/>
          <w:sz w:val="22"/>
          <w:szCs w:val="22"/>
        </w:rPr>
        <w:t xml:space="preserve">Kepala BPS Kabupaten Solok</w:t>
      </w:r>
    </w:p>
    <w:p>
      <w:pPr>
        <w:spacing w:after="0"/>
      </w:pPr>
      <w:r>
        <w:rPr>
          <w:rFonts w:ascii="Cambria" w:cs="Cambria" w:eastAsia="Cambria" w:hAnsi="Cambria"/>
          <w:sz w:val="22"/>
          <w:szCs w:val="22"/>
        </w:rPr>
        <w:t xml:space="preserve"/>
      </w:r>
    </w:p>
    <w:p>
      <w:pPr>
        <w:spacing w:after="0"/>
      </w:pPr>
      <w:r>
        <w:rPr>
          <w:rFonts w:ascii="Cambria" w:cs="Cambria" w:eastAsia="Cambria" w:hAnsi="Cambria"/>
          <w:sz w:val="22"/>
          <w:szCs w:val="22"/>
        </w:rPr>
        <w:t xml:space="preserve"/>
      </w:r>
    </w:p>
    <w:p>
      <w:pPr>
        <w:spacing w:after="0"/>
      </w:pPr>
      <w:r>
        <w:rPr>
          <w:rFonts w:ascii="Cambria" w:cs="Cambria" w:eastAsia="Cambria" w:hAnsi="Cambria"/>
          <w:sz w:val="22"/>
          <w:szCs w:val="22"/>
        </w:rPr>
        <w:t xml:space="preserve"/>
      </w:r>
    </w:p>
    <w:p>
      <w:pPr>
        <w:spacing w:after="0"/>
      </w:pPr>
      <w:r>
        <w:rPr>
          <w:rFonts w:ascii="Cambria" w:cs="Cambria" w:eastAsia="Cambria" w:hAnsi="Cambria"/>
          <w:sz w:val="22"/>
          <w:szCs w:val="22"/>
        </w:rPr>
        <w:t xml:space="preserve"/>
      </w:r>
    </w:p>
    <w:p>
      <w:pPr>
        <w:spacing w:after="0"/>
        <w:ind w:left="5400"/>
      </w:pPr>
      <w:r>
        <w:rPr>
          <w:rFonts w:ascii="Cambria" w:cs="Cambria" w:eastAsia="Cambria" w:hAnsi="Cambria"/>
          <w:sz w:val="22"/>
          <w:szCs w:val="22"/>
        </w:rPr>
        <w:t xml:space="preserve">Bambang Suryanggono</w:t>
      </w:r>
    </w:p>
    <w:sectPr>
      <w:pgSz w:w="11906" w:h="16838" w:orient="portrait"/>
      <w:pgMar w:top="850" w:right="1300" w:bottom="85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fa4d39d54296c0ed5521e59490dfb3ca8197c5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2026-10-06T22:27:49.764Z</dcterms:created>
  <dcterms:modified xsi:type="dcterms:W3CDTF">2026-10-06T22:27:49.774Z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