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80" w:before="0"/>
        <w:jc w:val="center"/>
      </w:pPr>
      <w:r>
        <w:rPr>
          <w:rFonts w:ascii="Arial" w:cs="Arial" w:eastAsia="Arial" w:hAnsi="Arial"/>
          <w:b/>
          <w:bCs/>
          <w:color w:val="1E3A5F"/>
          <w:sz w:val="36"/>
          <w:szCs w:val="36"/>
        </w:rPr>
        <w:t xml:space="preserve">EDA INSIGHTS SUMMARY</w:t>
      </w:r>
    </w:p>
    <w:p>
      <w:pPr>
        <w:pBdr>
          <w:bottom w:val="single" w:color="2E75B6" w:sz="6" w:space="6"/>
        </w:pBdr>
        <w:spacing w:after="80" w:before="0"/>
        <w:jc w:val="center"/>
      </w:pPr>
      <w:r>
        <w:rPr>
          <w:rFonts w:ascii="Arial" w:cs="Arial" w:eastAsia="Arial" w:hAnsi="Arial"/>
          <w:color w:val="555555"/>
          <w:sz w:val="22"/>
          <w:szCs w:val="22"/>
        </w:rPr>
        <w:t xml:space="preserve">Loan Default Risk Prediction — Home Credit Dataset | Week 21 Deliverable</w:t>
      </w:r>
    </w:p>
    <w:p>
      <w:pPr>
        <w:spacing w:after="0" w:before="200"/>
      </w:pPr>
      <w:r>
        <w:t xml:space="preserve"/>
      </w:r>
    </w:p>
    <w:p>
      <w:pPr>
        <w:pStyle w:val="Heading1"/>
        <w:pBdr>
          <w:bottom w:val="single" w:color="2E75B6" w:sz="4" w:space="4"/>
        </w:pBdr>
        <w:spacing w:after="160" w:before="320"/>
      </w:pPr>
      <w:r>
        <w:rPr>
          <w:rFonts w:ascii="Arial" w:cs="Arial" w:eastAsia="Arial" w:hAnsi="Arial"/>
          <w:b/>
          <w:bCs/>
          <w:color w:val="1E3A5F"/>
          <w:sz w:val="28"/>
          <w:szCs w:val="28"/>
        </w:rPr>
        <w:t xml:space="preserve">1. Dataset Overview</w:t>
      </w:r>
    </w:p>
    <w:p>
      <w:pPr>
        <w:spacing w:after="80" w:before="80"/>
      </w:pPr>
      <w:r>
        <w:rPr>
          <w:rFonts w:ascii="Arial" w:cs="Arial" w:eastAsia="Arial" w:hAnsi="Arial"/>
          <w:color w:val="1A1A1A"/>
          <w:sz w:val="22"/>
          <w:szCs w:val="22"/>
        </w:rPr>
        <w:t xml:space="preserve">The Home Credit Default Risk dataset comprises seven interrelated tables covering 307,511 loan applications. Analysis was conducted on the primary application table, which contains 122 features spanning applicant demographics, financial characteristics, and the binary target variable indicating payment difficulties.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Total applications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307,511</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Total features (main table)</w:t>
            </w:r>
          </w:p>
        </w:tc>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122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Target = 1 (defaulted)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24,825 (8.07%)</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Target = 0 (no default)</w:t>
            </w:r>
          </w:p>
        </w:tc>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282,686 (91.93%)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Features with missing values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67 out of 122 (54.9%)</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Numerical features</w:t>
            </w:r>
          </w:p>
        </w:tc>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106 (float64 + int64)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Categorical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16 (object)</w:t>
            </w:r>
          </w:p>
        </w:tc>
      </w:tr>
    </w:tbl>
    <w:p>
      <w:pPr>
        <w:spacing w:after="0" w:before="200"/>
      </w:pPr>
      <w:r>
        <w:t xml:space="preserve"/>
      </w:r>
    </w:p>
    <w:p>
      <w:pPr>
        <w:pStyle w:val="Heading1"/>
        <w:pBdr>
          <w:bottom w:val="single" w:color="2E75B6" w:sz="4" w:space="4"/>
        </w:pBdr>
        <w:spacing w:after="160" w:before="320"/>
      </w:pPr>
      <w:r>
        <w:rPr>
          <w:rFonts w:ascii="Arial" w:cs="Arial" w:eastAsia="Arial" w:hAnsi="Arial"/>
          <w:b/>
          <w:bCs/>
          <w:color w:val="1E3A5F"/>
          <w:sz w:val="28"/>
          <w:szCs w:val="28"/>
        </w:rPr>
        <w:t xml:space="preserve">2. Class Imbalance</w:t>
      </w:r>
    </w:p>
    <w:p>
      <w:pPr>
        <w:spacing w:after="80" w:before="80"/>
      </w:pPr>
      <w:r>
        <w:rPr>
          <w:rFonts w:ascii="Arial" w:cs="Arial" w:eastAsia="Arial" w:hAnsi="Arial"/>
          <w:color w:val="1A1A1A"/>
          <w:sz w:val="22"/>
          <w:szCs w:val="22"/>
        </w:rPr>
        <w:t xml:space="preserve">The dataset exhibits significant class imbalance, with only 8.07% of applicants classified as defaulters. This is expected in credit risk data and represents a real-world condition rather than a data quality issue.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r>
              <w:rPr>
                <w:rFonts w:ascii="Arial" w:cs="Arial" w:eastAsia="Arial" w:hAnsi="Arial"/>
                <w:i/>
                <w:iCs/>
                <w:color w:val="7B4F00"/>
                <w:sz w:val="21"/>
                <w:szCs w:val="21"/>
              </w:rPr>
              <w:t xml:space="preserve">A naive model predicting no default for every applicant would achieve 91.93% accuracy whilst being entirely useless. Accuracy is therefore not a valid metric for this project. ROC-AUC and F1-Score (minority class) will be used as primary evaluation metrics throughout.</w:t>
            </w:r>
          </w:p>
        </w:tc>
      </w:tr>
    </w:tbl>
    <w:p>
      <w:pPr>
        <w:spacing w:after="0" w:before="120"/>
      </w:pPr>
      <w:r>
        <w:t xml:space="preserve"/>
      </w:r>
    </w:p>
    <w:p>
      <w:pPr>
        <w:spacing w:after="80" w:before="80"/>
      </w:pPr>
      <w:r>
        <w:rPr>
          <w:rFonts w:ascii="Arial" w:cs="Arial" w:eastAsia="Arial" w:hAnsi="Arial"/>
          <w:color w:val="1A1A1A"/>
          <w:sz w:val="22"/>
          <w:szCs w:val="22"/>
        </w:rPr>
        <w:t xml:space="preserve">Class imbalance will be addressed in the modelling phase through class weighting in gradient boosting models and decision threshold optimisation. SMOTE will be evaluated as a supplementary oversampling strategy.</w:t>
      </w:r>
    </w:p>
    <w:p>
      <w:pPr>
        <w:spacing w:after="0" w:before="200"/>
      </w:pPr>
      <w:r>
        <w:t xml:space="preserve"/>
      </w:r>
    </w:p>
    <w:p>
      <w:pPr>
        <w:pStyle w:val="Heading1"/>
        <w:pBdr>
          <w:bottom w:val="single" w:color="2E75B6" w:sz="4" w:space="4"/>
        </w:pBdr>
        <w:spacing w:after="160" w:before="320"/>
      </w:pPr>
      <w:r>
        <w:rPr>
          <w:rFonts w:ascii="Arial" w:cs="Arial" w:eastAsia="Arial" w:hAnsi="Arial"/>
          <w:b/>
          <w:bCs/>
          <w:color w:val="1E3A5F"/>
          <w:sz w:val="28"/>
          <w:szCs w:val="28"/>
        </w:rPr>
        <w:t xml:space="preserve">3. Missing Value Analysis</w:t>
      </w:r>
    </w:p>
    <w:p>
      <w:pPr>
        <w:spacing w:after="80" w:before="80"/>
      </w:pPr>
      <w:r>
        <w:rPr>
          <w:rFonts w:ascii="Arial" w:cs="Arial" w:eastAsia="Arial" w:hAnsi="Arial"/>
          <w:color w:val="1A1A1A"/>
          <w:sz w:val="22"/>
          <w:szCs w:val="22"/>
        </w:rPr>
        <w:t xml:space="preserve">67 of 122 features contain missing values. Missing data falls into two distinct categories with different implications for feature engineering:</w:t>
      </w:r>
    </w:p>
    <w:p>
      <w:pPr>
        <w:spacing w:after="0" w:before="80"/>
      </w:pPr>
      <w:r>
        <w:t xml:space="preserve"/>
      </w:r>
    </w:p>
    <w:p>
      <w:pPr>
        <w:pStyle w:val="Heading2"/>
        <w:spacing w:after="100" w:before="240"/>
      </w:pPr>
      <w:r>
        <w:rPr>
          <w:rFonts w:ascii="Arial" w:cs="Arial" w:eastAsia="Arial" w:hAnsi="Arial"/>
          <w:b/>
          <w:bCs/>
          <w:color w:val="2E75B6"/>
          <w:sz w:val="24"/>
          <w:szCs w:val="24"/>
        </w:rPr>
        <w:t xml:space="preserve">Structural Missingness (majority of cases)</w:t>
      </w:r>
    </w:p>
    <w:p>
      <w:pPr>
        <w:spacing w:after="80" w:before="80"/>
      </w:pPr>
      <w:r>
        <w:rPr>
          <w:rFonts w:ascii="Arial" w:cs="Arial" w:eastAsia="Arial" w:hAnsi="Arial"/>
          <w:color w:val="1A1A1A"/>
          <w:sz w:val="22"/>
          <w:szCs w:val="22"/>
        </w:rPr>
        <w:t xml:space="preserve">Most missing values are not random — they reflect real-world absence of information. Property-related features (common areas, floor levels, land area, years built) are missing because many applicants do not live in multi-storey buildings. OWN_CAR_AGE is missing for 66% of applicants because they do not own a car.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i/>
                <w:iCs/>
                <w:color w:val="1E3A5F"/>
                <w:sz w:val="21"/>
                <w:szCs w:val="21"/>
              </w:rPr>
              <w:t xml:space="preserve">For structurally missing features, the absence of a value is itself informative. Binary indicator flags (e.g. HAS_CAR, HAS_PROPERTY_DATA) will be created before imputation in the feature engineering phase.</w:t>
            </w:r>
          </w:p>
        </w:tc>
      </w:tr>
    </w:tbl>
    <w:p>
      <w:pPr>
        <w:spacing w:after="0" w:before="120"/>
      </w:pPr>
      <w:r>
        <w:t xml:space="preserve"/>
      </w:r>
    </w:p>
    <w:p>
      <w:pPr>
        <w:pStyle w:val="Heading2"/>
        <w:spacing w:after="100" w:before="240"/>
      </w:pPr>
      <w:r>
        <w:rPr>
          <w:rFonts w:ascii="Arial" w:cs="Arial" w:eastAsia="Arial" w:hAnsi="Arial"/>
          <w:b/>
          <w:bCs/>
          <w:color w:val="2E75B6"/>
          <w:sz w:val="24"/>
          <w:szCs w:val="24"/>
        </w:rPr>
        <w:t xml:space="preserve">Critical Missing Feature — EXT_SOURCE_1</w:t>
      </w:r>
    </w:p>
    <w:p>
      <w:pPr>
        <w:spacing w:after="80" w:before="80"/>
      </w:pPr>
      <w:r>
        <w:rPr>
          <w:rFonts w:ascii="Arial" w:cs="Arial" w:eastAsia="Arial" w:hAnsi="Arial"/>
          <w:color w:val="1A1A1A"/>
          <w:sz w:val="22"/>
          <w:szCs w:val="22"/>
        </w:rPr>
        <w:t xml:space="preserve">EXT_SOURCE_1 is missing for 56% of applicants, yet is one of the three strongest predictors of default in the dataset (correlation of -0.16 with TARGET). This feature cannot be dropped. Strategy: median imputation with a missingness indicator flag.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 Group</w:t>
            </w:r>
          </w:p>
        </w:tc>
        <w:tc>
          <w:tcPr>
            <w:tcW w:type="dxa" w:w="3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Missing %</w:t>
            </w:r>
          </w:p>
        </w:tc>
        <w:tc>
          <w:tcPr>
            <w:tcW w:type="dxa" w:w="3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Engineering Strategy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Property features (COMMONAREA, LIVINGAREA, etc.)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&gt; 65%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Flag + median impute</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OWN_CAR_AGE</w:t>
            </w:r>
          </w:p>
        </w:tc>
        <w:tc>
          <w:tcPr>
            <w:tcW w:type="dxa" w:w="3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66%</w:t>
            </w:r>
          </w:p>
        </w:tc>
        <w:tc>
          <w:tcPr>
            <w:tcW w:type="dxa" w:w="33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HAS_CAR flag + median impute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EXT_SOURCE_1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Flag + median impute (critical feature)</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BASEMENTAREA, LANDAREA</w:t>
            </w:r>
          </w:p>
        </w:tc>
        <w:tc>
          <w:tcPr>
            <w:tcW w:type="dxa" w:w="3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~58%</w:t>
            </w:r>
          </w:p>
        </w:tc>
        <w:tc>
          <w:tcPr>
            <w:tcW w:type="dxa" w:w="33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Flag + median impute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EXT_SOURCE_2, EXT_SOURCE_3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&lt; 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Median impute</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OCCUPATION_TYPE</w:t>
            </w:r>
          </w:p>
        </w:tc>
        <w:tc>
          <w:tcPr>
            <w:tcW w:type="dxa" w:w="3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31%</w:t>
            </w:r>
          </w:p>
        </w:tc>
        <w:tc>
          <w:tcPr>
            <w:tcW w:type="dxa" w:w="33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Mode impute or separate category</w:t>
            </w:r>
          </w:p>
        </w:tc>
      </w:tr>
    </w:tbl>
    <w:p>
      <w:pPr>
        <w:spacing w:after="0" w:before="200"/>
      </w:pPr>
      <w:r>
        <w:t xml:space="preserve"/>
      </w:r>
    </w:p>
    <w:p>
      <w:r>
        <w:br w:type="page"/>
      </w:r>
    </w:p>
    <w:p>
      <w:pPr>
        <w:pStyle w:val="Heading1"/>
        <w:pBdr>
          <w:bottom w:val="single" w:color="2E75B6" w:sz="4" w:space="4"/>
        </w:pBdr>
        <w:spacing w:after="160" w:before="320"/>
      </w:pPr>
      <w:r>
        <w:rPr>
          <w:rFonts w:ascii="Arial" w:cs="Arial" w:eastAsia="Arial" w:hAnsi="Arial"/>
          <w:b/>
          <w:bCs/>
          <w:color w:val="1E3A5F"/>
          <w:sz w:val="28"/>
          <w:szCs w:val="28"/>
        </w:rPr>
        <w:t xml:space="preserve">4. Key Analytical Findings</w:t>
      </w:r>
    </w:p>
    <w:p>
      <w:pPr>
        <w:pStyle w:val="Heading2"/>
        <w:spacing w:after="100" w:before="240"/>
      </w:pPr>
      <w:r>
        <w:rPr>
          <w:rFonts w:ascii="Arial" w:cs="Arial" w:eastAsia="Arial" w:hAnsi="Arial"/>
          <w:b/>
          <w:bCs/>
          <w:color w:val="2E75B6"/>
          <w:sz w:val="24"/>
          <w:szCs w:val="24"/>
        </w:rPr>
        <w:t xml:space="preserve">4.1 External Credit Scores Are the Strongest Predictors</w:t>
      </w:r>
    </w:p>
    <w:p>
      <w:pPr>
        <w:spacing w:after="80" w:before="80"/>
      </w:pPr>
      <w:r>
        <w:rPr>
          <w:rFonts w:ascii="Arial" w:cs="Arial" w:eastAsia="Arial" w:hAnsi="Arial"/>
          <w:color w:val="1A1A1A"/>
          <w:sz w:val="22"/>
          <w:szCs w:val="22"/>
        </w:rPr>
        <w:t xml:space="preserve">EXT_SOURCE_1, EXT_SOURCE_2, and EXT_SOURCE_3 show the clearest separation between defaulters and non-defaulters of any features in the main table. All three are negatively correlated with default — higher scores indicate lower risk.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Median — No Default</w:t>
            </w:r>
          </w:p>
        </w:tc>
        <w:tc>
          <w:tcPr>
            <w:tcW w:type="dxa" w:w="3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Median — Default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EXT_SOURCE_1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0.517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0.362 (gap: 0.155)</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EXT_SOURCE_2</w:t>
            </w:r>
          </w:p>
        </w:tc>
        <w:tc>
          <w:tcPr>
            <w:tcW w:type="dxa" w:w="3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0.574</w:t>
            </w:r>
          </w:p>
        </w:tc>
        <w:tc>
          <w:tcPr>
            <w:tcW w:type="dxa" w:w="33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0.440 (gap: 0.134)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EXT_SOURCE_3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0.546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0.379 (gap: 0.167)</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20"/>
              <w:left w:type="dxa" w:w="200"/>
              <w:bottom w:type="dxa" w:w="120"/>
              <w:right w:type="dxa" w:w="200"/>
            </w:tcMar>
          </w:tcPr>
          <w:p>
            <w:r>
              <w:rPr>
                <w:rFonts w:ascii="Arial" w:cs="Arial" w:eastAsia="Arial" w:hAnsi="Arial"/>
                <w:i/>
                <w:iCs/>
                <w:color w:val="1E6B3C"/>
                <w:sz w:val="21"/>
                <w:szCs w:val="21"/>
              </w:rPr>
              <w:t xml:space="preserve">A composite EXT_SOURCE score (mean or weighted average of all three) will be engineered as a primary feature. This combined score is expected to be among the top predictors in the final model, consistent with published results on this dataset.</w:t>
            </w:r>
          </w:p>
        </w:tc>
      </w:tr>
    </w:tbl>
    <w:p>
      <w:pPr>
        <w:spacing w:after="0" w:before="160"/>
      </w:pPr>
      <w:r>
        <w:t xml:space="preserve"/>
      </w:r>
    </w:p>
    <w:p>
      <w:pPr>
        <w:pStyle w:val="Heading2"/>
        <w:spacing w:after="100" w:before="240"/>
      </w:pPr>
      <w:r>
        <w:rPr>
          <w:rFonts w:ascii="Arial" w:cs="Arial" w:eastAsia="Arial" w:hAnsi="Arial"/>
          <w:b/>
          <w:bCs/>
          <w:color w:val="2E75B6"/>
          <w:sz w:val="24"/>
          <w:szCs w:val="24"/>
        </w:rPr>
        <w:t xml:space="preserve">4.2 Age and Employment Length Are Meaningful Signals</w:t>
      </w:r>
    </w:p>
    <w:p>
      <w:pPr>
        <w:pStyle w:val="ListParagraph"/>
        <w:numPr>
          <w:ilvl w:val="0"/>
          <w:numId w:val="2"/>
        </w:numPr>
        <w:spacing w:after="60" w:before="60"/>
      </w:pPr>
      <w:r>
        <w:rPr>
          <w:rFonts w:ascii="Arial" w:cs="Arial" w:eastAsia="Arial" w:hAnsi="Arial"/>
          <w:color w:val="1A1A1A"/>
          <w:sz w:val="22"/>
          <w:szCs w:val="22"/>
        </w:rPr>
        <w:t xml:space="preserve">Default risk decreases with age. Younger applicants (20-30) carry disproportionately higher risk. AGE_YEARS (derived from DAYS_BIRTH) shows a correlation of -0.08 with TARGET — modest but consistent.</w:t>
      </w:r>
    </w:p>
    <w:p>
      <w:pPr>
        <w:pStyle w:val="ListParagraph"/>
        <w:numPr>
          <w:ilvl w:val="0"/>
          <w:numId w:val="2"/>
        </w:numPr>
        <w:spacing w:after="60" w:before="60"/>
      </w:pPr>
      <w:r>
        <w:rPr>
          <w:rFonts w:ascii="Arial" w:cs="Arial" w:eastAsia="Arial" w:hAnsi="Arial"/>
          <w:color w:val="1A1A1A"/>
          <w:sz w:val="22"/>
          <w:szCs w:val="22"/>
        </w:rPr>
        <w:t xml:space="preserve">Employment length shows a similar pattern — applicants with fewer than 5 years of employment default at higher rates. DAYS_EMPLOYED has a correlation of -0.04 with TARGET.</w:t>
      </w:r>
    </w:p>
    <w:p>
      <w:pPr>
        <w:pStyle w:val="ListParagraph"/>
        <w:numPr>
          <w:ilvl w:val="0"/>
          <w:numId w:val="2"/>
        </w:numPr>
        <w:spacing w:after="60" w:before="60"/>
      </w:pPr>
      <w:r>
        <w:rPr>
          <w:rFonts w:ascii="Arial" w:cs="Arial" w:eastAsia="Arial" w:hAnsi="Arial"/>
          <w:color w:val="1A1A1A"/>
          <w:sz w:val="22"/>
          <w:szCs w:val="22"/>
        </w:rPr>
        <w:t xml:space="preserve">DAYS_EMPLOYED contains a known data anomaly: 55,374 applicants (18% of the dataset) have a value of 365,243, indicating pensioners or unemployed individuals entered as a placeholder. A binary flag (DAYS_EMPLOYED_ANOMALY) will be created before this value is replaced.</w:t>
      </w:r>
    </w:p>
    <w:p>
      <w:pPr>
        <w:spacing w:after="0" w:before="160"/>
      </w:pPr>
      <w:r>
        <w:t xml:space="preserve"/>
      </w:r>
    </w:p>
    <w:p>
      <w:pPr>
        <w:pStyle w:val="Heading2"/>
        <w:spacing w:after="100" w:before="240"/>
      </w:pPr>
      <w:r>
        <w:rPr>
          <w:rFonts w:ascii="Arial" w:cs="Arial" w:eastAsia="Arial" w:hAnsi="Arial"/>
          <w:b/>
          <w:bCs/>
          <w:color w:val="2E75B6"/>
          <w:sz w:val="24"/>
          <w:szCs w:val="24"/>
        </w:rPr>
        <w:t xml:space="preserve">4.3 Income Alone Does Not Predict Default</w:t>
      </w:r>
    </w:p>
    <w:p>
      <w:pPr>
        <w:spacing w:after="80" w:before="80"/>
      </w:pPr>
      <w:r>
        <w:rPr>
          <w:rFonts w:ascii="Arial" w:cs="Arial" w:eastAsia="Arial" w:hAnsi="Arial"/>
          <w:color w:val="1A1A1A"/>
          <w:sz w:val="22"/>
          <w:szCs w:val="22"/>
        </w:rPr>
        <w:t xml:space="preserve">AMT_INCOME_TOTAL shows a correlation of effectively zero (-0.00) with TARGET. Similarly, the derived Credit-to-Income Ratio and Annuity Burden Ratio show near-identical medians between defaulters and non-defaulters (3.267 vs 3.253 and 0.162 vs 0.169 respectively).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r>
              <w:rPr>
                <w:rFonts w:ascii="Arial" w:cs="Arial" w:eastAsia="Arial" w:hAnsi="Arial"/>
                <w:i/>
                <w:iCs/>
                <w:color w:val="7B4F00"/>
                <w:sz w:val="21"/>
                <w:szCs w:val="21"/>
              </w:rPr>
              <w:t xml:space="preserve">This is a counter-intuitive but important finding. Income level alone does not determine creditworthiness in this dataset. Home Credit likely applies income-based lending limits prior to approval, which normalises the ratio across applicants. Income features will be retained but should not be over-weighted in feature selection.</w:t>
            </w:r>
          </w:p>
        </w:tc>
      </w:tr>
    </w:tbl>
    <w:p>
      <w:pPr>
        <w:spacing w:after="0" w:before="160"/>
      </w:pPr>
      <w:r>
        <w:t xml:space="preserve"/>
      </w:r>
    </w:p>
    <w:p>
      <w:pPr>
        <w:pStyle w:val="Heading2"/>
        <w:spacing w:after="100" w:before="240"/>
      </w:pPr>
      <w:r>
        <w:rPr>
          <w:rFonts w:ascii="Arial" w:cs="Arial" w:eastAsia="Arial" w:hAnsi="Arial"/>
          <w:b/>
          <w:bCs/>
          <w:color w:val="2E75B6"/>
          <w:sz w:val="24"/>
          <w:szCs w:val="24"/>
        </w:rPr>
        <w:t xml:space="preserve">4.4 Occupation and Housing Type Are Commercially Significant</w:t>
      </w:r>
    </w:p>
    <w:p>
      <w:pPr>
        <w:pStyle w:val="ListParagraph"/>
        <w:numPr>
          <w:ilvl w:val="0"/>
          <w:numId w:val="2"/>
        </w:numPr>
        <w:spacing w:after="60" w:before="60"/>
      </w:pPr>
      <w:r>
        <w:rPr>
          <w:rFonts w:ascii="Arial" w:cs="Arial" w:eastAsia="Arial" w:hAnsi="Arial"/>
          <w:color w:val="1A1A1A"/>
          <w:sz w:val="22"/>
          <w:szCs w:val="22"/>
        </w:rPr>
        <w:t xml:space="preserve">Low-skill labourers default at 17.5% — more than double the overall average. Drivers (approx. 12%), waiters/barmen, and security staff all sit significantly above average.</w:t>
      </w:r>
    </w:p>
    <w:p>
      <w:pPr>
        <w:pStyle w:val="ListParagraph"/>
        <w:numPr>
          <w:ilvl w:val="0"/>
          <w:numId w:val="2"/>
        </w:numPr>
        <w:spacing w:after="60" w:before="60"/>
      </w:pPr>
      <w:r>
        <w:rPr>
          <w:rFonts w:ascii="Arial" w:cs="Arial" w:eastAsia="Arial" w:hAnsi="Arial"/>
          <w:color w:val="1A1A1A"/>
          <w:sz w:val="22"/>
          <w:szCs w:val="22"/>
        </w:rPr>
        <w:t xml:space="preserve">Accountants, high-skill tech staff, and managers default well below average, consistent with income stability and job security.</w:t>
      </w:r>
    </w:p>
    <w:p>
      <w:pPr>
        <w:pStyle w:val="ListParagraph"/>
        <w:numPr>
          <w:ilvl w:val="0"/>
          <w:numId w:val="2"/>
        </w:numPr>
        <w:spacing w:after="60" w:before="60"/>
      </w:pPr>
      <w:r>
        <w:rPr>
          <w:rFonts w:ascii="Arial" w:cs="Arial" w:eastAsia="Arial" w:hAnsi="Arial"/>
          <w:color w:val="1A1A1A"/>
          <w:sz w:val="22"/>
          <w:szCs w:val="22"/>
        </w:rPr>
        <w:t xml:space="preserve">Rented apartment residents default at approximately 12% vs 7.5% for house/apartment owners. Living with parents also correlates with above-average default risk.</w:t>
      </w:r>
    </w:p>
    <w:p>
      <w:pPr>
        <w:pStyle w:val="ListParagraph"/>
        <w:numPr>
          <w:ilvl w:val="0"/>
          <w:numId w:val="2"/>
        </w:numPr>
        <w:spacing w:after="60" w:before="60"/>
      </w:pPr>
      <w:r>
        <w:rPr>
          <w:rFonts w:ascii="Arial" w:cs="Arial" w:eastAsia="Arial" w:hAnsi="Arial"/>
          <w:color w:val="1A1A1A"/>
          <w:sz w:val="22"/>
          <w:szCs w:val="22"/>
        </w:rPr>
        <w:t xml:space="preserve">These categorical features carry meaningful predictive signal and will be encoded and retained in the feature set.</w:t>
      </w:r>
    </w:p>
    <w:p>
      <w:pPr>
        <w:spacing w:after="0" w:before="160"/>
      </w:pPr>
      <w:r>
        <w:t xml:space="preserve"/>
      </w:r>
    </w:p>
    <w:p>
      <w:pPr>
        <w:pStyle w:val="Heading2"/>
        <w:spacing w:after="100" w:before="240"/>
      </w:pPr>
      <w:r>
        <w:rPr>
          <w:rFonts w:ascii="Arial" w:cs="Arial" w:eastAsia="Arial" w:hAnsi="Arial"/>
          <w:b/>
          <w:bCs/>
          <w:color w:val="2E75B6"/>
          <w:sz w:val="24"/>
          <w:szCs w:val="24"/>
        </w:rPr>
        <w:t xml:space="preserve">4.5 Gender Differential Requires Careful Handling</w:t>
      </w:r>
    </w:p>
    <w:p>
      <w:pPr>
        <w:spacing w:after="80" w:before="80"/>
      </w:pPr>
      <w:r>
        <w:rPr>
          <w:rFonts w:ascii="Arial" w:cs="Arial" w:eastAsia="Arial" w:hAnsi="Arial"/>
          <w:color w:val="1A1A1A"/>
          <w:sz w:val="22"/>
          <w:szCs w:val="22"/>
        </w:rPr>
        <w:t xml:space="preserve">Male applicants default at approximately 10% vs 6.7% for female applicants — a meaningful gap. However, using gender directly as a predictive feature raises regulatory and ethical concerns under fair lending principles.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r>
              <w:rPr>
                <w:rFonts w:ascii="Arial" w:cs="Arial" w:eastAsia="Arial" w:hAnsi="Arial"/>
                <w:i/>
                <w:iCs/>
                <w:color w:val="8B0000"/>
                <w:sz w:val="21"/>
                <w:szCs w:val="21"/>
              </w:rPr>
              <w:t xml:space="preserve">Gender will be included in the model for predictive performance but will be subject to explicit bias analysis using SHAP and Fairlearn in the explainability phase. The system is framed as decision support rather than automated decision-making, which partially mitigates regulatory exposure.</w:t>
            </w:r>
          </w:p>
        </w:tc>
      </w:tr>
    </w:tbl>
    <w:p>
      <w:pPr>
        <w:spacing w:after="0" w:before="160"/>
      </w:pPr>
      <w:r>
        <w:t xml:space="preserve"/>
      </w:r>
    </w:p>
    <w:p>
      <w:pPr>
        <w:pStyle w:val="Heading2"/>
        <w:spacing w:after="100" w:before="240"/>
      </w:pPr>
      <w:r>
        <w:rPr>
          <w:rFonts w:ascii="Arial" w:cs="Arial" w:eastAsia="Arial" w:hAnsi="Arial"/>
          <w:b/>
          <w:bCs/>
          <w:color w:val="2E75B6"/>
          <w:sz w:val="24"/>
          <w:szCs w:val="24"/>
        </w:rPr>
        <w:t xml:space="preserve">4.6 Multicollinearity — Features to Address in Engineering</w:t>
      </w:r>
    </w:p>
    <w:p>
      <w:pPr>
        <w:spacing w:after="80" w:before="80"/>
      </w:pPr>
      <w:r>
        <w:rPr>
          <w:rFonts w:ascii="Arial" w:cs="Arial" w:eastAsia="Arial" w:hAnsi="Arial"/>
          <w:color w:val="1A1A1A"/>
          <w:sz w:val="22"/>
          <w:szCs w:val="22"/>
        </w:rPr>
        <w:t xml:space="preserve">The correlation heatmap identified several highly correlated feature pairs that require action before modelling: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 Pair</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Action 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AMT_CREDIT and AMT_GOODS_PRICE (r = 0.99)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Drop AMT_GOODS_PRICE or engineer a ratio. Near-identical features add noise without signal.</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AMT_CREDIT and AMT_ANNUITY (r = 0.77)</w:t>
            </w:r>
          </w:p>
        </w:tc>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Engineer LOAN_TERM = AMT_CREDIT / AMT_ANNUITY as a more informative derived feature.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CNT_CHILDREN and CNT_FAM_MEMBERS (r = 0.88)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Drop CNT_FAM_MEMBERS. CNT_CHILDREN is more specific and less redundant.</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EXT_SOURCE_1 and DAYS_EMPLOYED (r = 0.60)</w:t>
            </w:r>
          </w:p>
        </w:tc>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Retain both but monitor feature importance — may be capturing overlapping signal.</w:t>
            </w:r>
          </w:p>
        </w:tc>
      </w:tr>
    </w:tbl>
    <w:p>
      <w:pPr>
        <w:spacing w:after="0" w:before="200"/>
      </w:pPr>
      <w:r>
        <w:t xml:space="preserve"/>
      </w:r>
    </w:p>
    <w:p>
      <w:r>
        <w:br w:type="page"/>
      </w:r>
    </w:p>
    <w:p>
      <w:pPr>
        <w:pStyle w:val="Heading1"/>
        <w:pBdr>
          <w:bottom w:val="single" w:color="2E75B6" w:sz="4" w:space="4"/>
        </w:pBdr>
        <w:spacing w:after="160" w:before="320"/>
      </w:pPr>
      <w:r>
        <w:rPr>
          <w:rFonts w:ascii="Arial" w:cs="Arial" w:eastAsia="Arial" w:hAnsi="Arial"/>
          <w:b/>
          <w:bCs/>
          <w:color w:val="1E3A5F"/>
          <w:sz w:val="28"/>
          <w:szCs w:val="28"/>
        </w:rPr>
        <w:t xml:space="preserve">5. Outlier Analysis</w:t>
      </w:r>
    </w:p>
    <w:p>
      <w:pPr>
        <w:spacing w:after="80" w:before="80"/>
      </w:pPr>
      <w:r>
        <w:rPr>
          <w:rFonts w:ascii="Arial" w:cs="Arial" w:eastAsia="Arial" w:hAnsi="Arial"/>
          <w:color w:val="1A1A1A"/>
          <w:sz w:val="22"/>
          <w:szCs w:val="22"/>
        </w:rPr>
        <w:t xml:space="preserve">Outlier detection using the IQR method identified significant upper-tail outliers across all key financial features: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Outliers (IQR method)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Annual Income (AMT_INCOME_TOTAL)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14,035 (4.6%) — max value of 117 million likely a data entry error</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Credit Amount (AMT_CREDIT)</w:t>
            </w:r>
          </w:p>
        </w:tc>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6,562 (2.1%) — large but plausible high-value loans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Annuity Amount (AMT_ANNUITY)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7,504 (2.4%) — linked to credit amount outliers</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Goods Price (AMT_GOODS_PRICE)</w:t>
            </w:r>
          </w:p>
        </w:tc>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14,728 (4.8%) — consistent with credit amount distribution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i/>
                <w:iCs/>
                <w:color w:val="1E3A5F"/>
                <w:sz w:val="21"/>
                <w:szCs w:val="21"/>
              </w:rPr>
              <w:t xml:space="preserve">Outlier rows will not be dropped. Applicants with extreme values are still valid data points — only the extreme values themselves are unreliable. All financial features will be capped at the 99th percentile (Winsorisation) during feature engineering.</w:t>
            </w:r>
          </w:p>
        </w:tc>
      </w:tr>
    </w:tbl>
    <w:p>
      <w:pPr>
        <w:spacing w:after="0" w:before="200"/>
      </w:pPr>
      <w:r>
        <w:t xml:space="preserve"/>
      </w:r>
    </w:p>
    <w:p>
      <w:pPr>
        <w:pStyle w:val="Heading1"/>
        <w:pBdr>
          <w:bottom w:val="single" w:color="2E75B6" w:sz="4" w:space="4"/>
        </w:pBdr>
        <w:spacing w:after="160" w:before="320"/>
      </w:pPr>
      <w:r>
        <w:rPr>
          <w:rFonts w:ascii="Arial" w:cs="Arial" w:eastAsia="Arial" w:hAnsi="Arial"/>
          <w:b/>
          <w:bCs/>
          <w:color w:val="1E3A5F"/>
          <w:sz w:val="28"/>
          <w:szCs w:val="28"/>
        </w:rPr>
        <w:t xml:space="preserve">6. Features Identified for Engineering</w:t>
      </w:r>
    </w:p>
    <w:p>
      <w:pPr>
        <w:spacing w:after="80" w:before="80"/>
      </w:pPr>
      <w:r>
        <w:rPr>
          <w:rFonts w:ascii="Arial" w:cs="Arial" w:eastAsia="Arial" w:hAnsi="Arial"/>
          <w:color w:val="1A1A1A"/>
          <w:sz w:val="22"/>
          <w:szCs w:val="22"/>
        </w:rPr>
        <w:t xml:space="preserve">The following new features will be created in the feature engineering phase, based on EDA findings: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Derivation</w:t>
            </w:r>
          </w:p>
        </w:tc>
        <w:tc>
          <w:tcPr>
            <w:tcW w:type="dxa" w:w="3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AGE_YEARS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abs(DAYS_BIRTH) / 365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More interpretable than raw days. Shown to correlate with default.</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EMPLOYMENT_YEARS</w:t>
            </w:r>
          </w:p>
        </w:tc>
        <w:tc>
          <w:tcPr>
            <w:tcW w:type="dxa" w:w="3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abs(DAYS_EMPLOYED) / 365</w:t>
            </w:r>
          </w:p>
        </w:tc>
        <w:tc>
          <w:tcPr>
            <w:tcW w:type="dxa" w:w="33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Employment length as years. More interpretable.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DAYS_EMPLOYED_ANOMALY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 if DAYS_EMPLOYED == 365243 else 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Flags pensioners/unemployed. Anomaly itself may be predictive.</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HAS_CAR</w:t>
            </w:r>
          </w:p>
        </w:tc>
        <w:tc>
          <w:tcPr>
            <w:tcW w:type="dxa" w:w="3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1 if OWN_CAR_AGE is not null else 0</w:t>
            </w:r>
          </w:p>
        </w:tc>
        <w:tc>
          <w:tcPr>
            <w:tcW w:type="dxa" w:w="33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Missingness indicates no car. Structural flag.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EXT_SOURCE_MEAN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Mean of EXT_SOURCE_1, 2, 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Combined external score. Expected top predictor.</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EXT_SOURCE_MIN</w:t>
            </w:r>
          </w:p>
        </w:tc>
        <w:tc>
          <w:tcPr>
            <w:tcW w:type="dxa" w:w="3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Min of EXT_SOURCE_1, 2, 3</w:t>
            </w:r>
          </w:p>
        </w:tc>
        <w:tc>
          <w:tcPr>
            <w:tcW w:type="dxa" w:w="33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Captures worst external score — may signal risk.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CREDIT_INCOME_RATIO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AMT_CREDIT / AMT_INCOME_TOTAL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Debt relative to income. Retained despite weak univariate signal.</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ANNUITY_INCOME_RATIO</w:t>
            </w:r>
          </w:p>
        </w:tc>
        <w:tc>
          <w:tcPr>
            <w:tcW w:type="dxa" w:w="3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AMT_ANNUITY / AMT_INCOME_TOTAL</w:t>
            </w:r>
          </w:p>
        </w:tc>
        <w:tc>
          <w:tcPr>
            <w:tcW w:type="dxa" w:w="33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Monthly repayment burden relative to income.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LOAN_TERM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AMT_CREDIT / AMT_ANNUITY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Implied loan term in months. Derived from correlated features.</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INCOME_PER_PERSON</w:t>
            </w:r>
          </w:p>
        </w:tc>
        <w:tc>
          <w:tcPr>
            <w:tcW w:type="dxa" w:w="3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AMT_INCOME_TOTAL / CNT_FAM_MEMBERS</w:t>
            </w:r>
          </w:p>
        </w:tc>
        <w:tc>
          <w:tcPr>
            <w:tcW w:type="dxa" w:w="33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Income adjusted for dependants. More meaningful than raw income.</w:t>
            </w:r>
          </w:p>
        </w:tc>
      </w:tr>
    </w:tbl>
    <w:p>
      <w:pPr>
        <w:spacing w:after="0" w:before="200"/>
      </w:pPr>
      <w:r>
        <w:t xml:space="preserve"/>
      </w:r>
    </w:p>
    <w:p>
      <w:pPr>
        <w:pStyle w:val="Heading1"/>
        <w:pBdr>
          <w:bottom w:val="single" w:color="2E75B6" w:sz="4" w:space="4"/>
        </w:pBdr>
        <w:spacing w:after="160" w:before="320"/>
      </w:pPr>
      <w:r>
        <w:rPr>
          <w:rFonts w:ascii="Arial" w:cs="Arial" w:eastAsia="Arial" w:hAnsi="Arial"/>
          <w:b/>
          <w:bCs/>
          <w:color w:val="1E3A5F"/>
          <w:sz w:val="28"/>
          <w:szCs w:val="28"/>
        </w:rPr>
        <w:t xml:space="preserve">7. Visualisation Tracker</w:t>
      </w:r>
    </w:p>
    <w:p>
      <w:pPr>
        <w:spacing w:after="80" w:before="80"/>
      </w:pPr>
      <w:r>
        <w:rPr>
          <w:rFonts w:ascii="Arial" w:cs="Arial" w:eastAsia="Arial" w:hAnsi="Arial"/>
          <w:color w:val="1A1A1A"/>
          <w:sz w:val="22"/>
          <w:szCs w:val="22"/>
        </w:rPr>
        <w:t xml:space="preserve">The following 15 visualisations were produced during EDA, meeting the minimum requirement specified in the project brief: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Visualisation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Top 30 columns by missing value % (horizontal bar chart)</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Target variable distribution — count and percentage split (bar + pie)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Annual income distribution by default status (overlaid histogram)</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4</w:t>
            </w:r>
          </w:p>
        </w:tc>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Credit amount distribution by default status (overlaid histogram)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Age distribution by default status (overlaid histogram)</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6</w:t>
            </w:r>
          </w:p>
        </w:tc>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Employment length by default status (overlaid histogram)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Default rate by contract type (bar chart)</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8</w:t>
            </w:r>
          </w:p>
        </w:tc>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Default rate by gender (bar chart)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Default rate by income type (bar chart)</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10</w:t>
            </w:r>
          </w:p>
        </w:tc>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Default rate by education level (bar chart)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Correlation heatmap — key numerical features</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12</w:t>
            </w:r>
          </w:p>
        </w:tc>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EXT_SOURCE_1, 2, 3 box plots by default 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Outlier detection — four key financial features (box plots)</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14</w:t>
            </w:r>
          </w:p>
        </w:tc>
        <w:tc>
          <w:tcPr>
            <w:tcW w:type="dxa" w:w="468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1A1A1A"/>
                <w:sz w:val="20"/>
                <w:szCs w:val="20"/>
              </w:rPr>
              <w:t xml:space="preserve">Credit-to-income and annuity burden ratio distributions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Default rate by housing type and occupation type (horizontal bar charts)</w:t>
            </w:r>
          </w:p>
        </w:tc>
      </w:tr>
    </w:tbl>
    <w:p>
      <w:pPr>
        <w:spacing w:after="0" w:before="200"/>
      </w:pPr>
      <w:r>
        <w:t xml:space="preserve"/>
      </w:r>
    </w:p>
    <w:p>
      <w:pPr>
        <w:pBdr>
          <w:top w:val="single" w:color="2E75B6" w:sz="4" w:space="8"/>
        </w:pBdr>
        <w:spacing w:after="0" w:before="160"/>
        <w:jc w:val="center"/>
      </w:pPr>
      <w:r>
        <w:rPr>
          <w:rFonts w:ascii="Arial" w:cs="Arial" w:eastAsia="Arial" w:hAnsi="Arial"/>
          <w:color w:val="555555"/>
          <w:sz w:val="18"/>
          <w:szCs w:val="18"/>
        </w:rPr>
        <w:t xml:space="preserve">Data Science Bootcamp — Month 6 Capstone | EDA Insights Summary | Week 21 Deliverable</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2026-04-22T06:40:59.114Z</dcterms:created>
  <dcterms:modified xsi:type="dcterms:W3CDTF">2026-04-22T06:40:59.115Z</dcterms:modified>
</cp:coreProperties>
</file>

<file path=docProps/custom.xml><?xml version="1.0" encoding="utf-8"?>
<Properties xmlns="http://schemas.openxmlformats.org/officeDocument/2006/custom-properties" xmlns:vt="http://schemas.openxmlformats.org/officeDocument/2006/docPropsVTypes"/>
</file>