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entrance map</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We all know that the </w:t>
      </w:r>
      <w:r w:rsidDel="00000000" w:rsidR="00000000" w:rsidRPr="00000000">
        <w:rPr>
          <w:color w:val="ff0000"/>
          <w:rtl w:val="0"/>
        </w:rPr>
        <w:t xml:space="preserve">Great Wall </w:t>
      </w:r>
      <w:r w:rsidDel="00000000" w:rsidR="00000000" w:rsidRPr="00000000">
        <w:rPr>
          <w:rtl w:val="0"/>
        </w:rPr>
        <w:t xml:space="preserve">of China </w:t>
      </w:r>
      <w:r w:rsidDel="00000000" w:rsidR="00000000" w:rsidRPr="00000000">
        <w:rPr>
          <w:color w:val="ff0000"/>
          <w:rtl w:val="0"/>
        </w:rPr>
        <w:t xml:space="preserve">expanding</w:t>
      </w:r>
      <w:r w:rsidDel="00000000" w:rsidR="00000000" w:rsidRPr="00000000">
        <w:rPr>
          <w:rtl w:val="0"/>
        </w:rPr>
        <w:t xml:space="preserve"> across 15 provinces or </w:t>
      </w:r>
      <w:r w:rsidDel="00000000" w:rsidR="00000000" w:rsidRPr="00000000">
        <w:rPr>
          <w:color w:val="ff0000"/>
          <w:rtl w:val="0"/>
        </w:rPr>
        <w:t xml:space="preserve">autonomous regions, such as Beijing, Tianjin, Shanxi, Inner Mongolia, and Qinghai. The gigantic construction was built by ancient Chinese for a military purpose to resist the attack of northern nomadic tribes in different periods.</w:t>
      </w:r>
    </w:p>
    <w:p w:rsidR="00000000" w:rsidDel="00000000" w:rsidP="00000000" w:rsidRDefault="00000000" w:rsidRPr="00000000">
      <w:pPr>
        <w:contextualSpacing w:val="0"/>
      </w:pPr>
      <w:r w:rsidDel="00000000" w:rsidR="00000000" w:rsidRPr="00000000">
        <w:rPr>
          <w:color w:val="ff0000"/>
          <w:rtl w:val="0"/>
        </w:rPr>
        <w:t xml:space="preserve">Do you know that there is also a “Great Wall” in Taiwan? “The Great Wall Path of Health” is located in Tatu area, Taichung City, running 1.2 km long, peaking at an altitude of about 300 meters. This path belongs to the hiking paths in Tatu mountains. The road is not lit by lamps but there is a small free parking lot at the entrance, open 24/7.</w:t>
      </w:r>
    </w:p>
    <w:p w:rsidR="00000000" w:rsidDel="00000000" w:rsidP="00000000" w:rsidRDefault="00000000" w:rsidRPr="00000000">
      <w:r w:rsidDel="00000000" w:rsidR="00000000" w:rsidRPr="00000000">
        <w:rPr>
          <w:color w:val="ff0000"/>
          <w:rtl w:val="0"/>
        </w:rPr>
        <w:t xml:space="preserve">Next to the path is a shortcut connecting the Great Wall and the Blue Highway. It is suggested that people take a walk through the shortcut.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the entrance of the Park</w:t>
      </w:r>
    </w:p>
    <w:p w:rsidR="00000000" w:rsidDel="00000000" w:rsidP="00000000" w:rsidRDefault="00000000" w:rsidRPr="00000000">
      <w:pPr>
        <w:contextualSpacing w:val="0"/>
      </w:pPr>
      <w:r w:rsidDel="00000000" w:rsidR="00000000" w:rsidRPr="00000000">
        <w:rPr>
          <w:rtl w:val="0"/>
        </w:rPr>
        <w:t xml:space="preserve">The great wall is a scenic hiking trails, it is located in the belly area, entrances to parks and recreational facilities, kids can play, street vendors and residents will gather here each chat; Trails will be preceded by a sign showing the route, trail has a variety of trees and flowers, some chairs or gazebo on the way, if you're tired you can sit down and have a rest, even the elderly can get hiking, ideal for parent-child joint mountain walking. Great wall of health by the end of the trail is Commissioner of Taichung, clearly overlooking the Tatu beauty of eyes in the night, better able to see the beautiful night scenery, looked more Flash saw the number of stars in the night sky, the great wall is very good place for young night drifters.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Trail of the great wall is an umbrella term, one will find that in fact there are many spur trails to choose, we recommend walking before you can start planning how to get to avoid getting lost. Take a trip about an hour or so, plus rest time back and forth for nearly three hours, it walking before you know what a good time, so stuck in the trail after dark, before departure must also face up to their own physical load, although high mountain is not high, but the trail length is quite endless.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Public toilet next to the Park (photographer's technique deserted)</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transportation:</w:t>
      </w:r>
    </w:p>
    <w:p w:rsidR="00000000" w:rsidDel="00000000" w:rsidP="00000000" w:rsidRDefault="00000000" w:rsidRPr="00000000">
      <w:pPr>
        <w:widowControl w:val="0"/>
        <w:numPr>
          <w:ilvl w:val="0"/>
          <w:numId w:val="3"/>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Train: Tatu railway station, walk for about 30 minutes.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By bus: taking Taichung passenger route 105, 93, giant passenger route 180 and to a new village (Kan feet) after you get off, walk about 15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 car:</w:t>
      </w:r>
    </w:p>
    <w:p w:rsidR="00000000" w:rsidDel="00000000" w:rsidP="00000000" w:rsidRDefault="00000000" w:rsidRPr="00000000">
      <w:pPr>
        <w:widowControl w:val="0"/>
        <w:numPr>
          <w:ilvl w:val="0"/>
          <w:numId w:val="4"/>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Zhongshan high Yokoyama interchange to Sha Tin Road to the North, in the vicinity of Sha Tin Road 310 lane junction to see "the great wall hiking trails" signs, walk for 2 minutes to get to the trailhead.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Entry instructions marked</w:t>
      </w:r>
    </w:p>
    <w:p w:rsidR="00000000" w:rsidDel="00000000" w:rsidP="00000000" w:rsidRDefault="00000000" w:rsidRPr="00000000">
      <w:pPr>
        <w:contextualSpacing w:val="0"/>
      </w:pPr>
      <w:r w:rsidDel="00000000" w:rsidR="00000000" w:rsidRPr="00000000">
        <w:rPr>
          <w:rtl w:val="0"/>
        </w:rPr>
        <w:t xml:space="preserve">Advantages:</w:t>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Good health.</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You can make more friends.</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You can admire the scenery.</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Suitable for fitness activities .</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Foster close relationship between family. </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Can absorb natural phytoncid.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Disadvantages:</w:t>
      </w:r>
    </w:p>
    <w:p w:rsidR="00000000" w:rsidDel="00000000" w:rsidP="00000000" w:rsidRDefault="00000000" w:rsidRPr="00000000">
      <w:pPr>
        <w:widowControl w:val="0"/>
        <w:numPr>
          <w:ilvl w:val="0"/>
          <w:numId w:val="1"/>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no safety.</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No obvious entrance.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Not too good for bones.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Required for improvement:</w:t>
      </w:r>
    </w:p>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organize more activities to promote local fame.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Add Security.</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rPr/>
      </w:pPr>
      <w:r w:rsidDel="00000000" w:rsidR="00000000" w:rsidRPr="00000000">
        <w:rPr>
          <w:rFonts w:ascii="Calibri" w:cs="Calibri" w:eastAsia="Calibri" w:hAnsi="Calibri"/>
          <w:b w:val="0"/>
          <w:sz w:val="24"/>
          <w:szCs w:val="24"/>
          <w:rtl w:val="0"/>
        </w:rPr>
        <w:t xml:space="preserve">Much more clearly indicates the entry.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Experience:</w:t>
      </w:r>
    </w:p>
    <w:p w:rsidR="00000000" w:rsidDel="00000000" w:rsidP="00000000" w:rsidRDefault="00000000" w:rsidRPr="00000000">
      <w:pPr>
        <w:contextualSpacing w:val="0"/>
      </w:pPr>
      <w:r w:rsidDel="00000000" w:rsidR="00000000" w:rsidRPr="00000000">
        <w:rPr>
          <w:rtl w:val="0"/>
        </w:rPr>
        <w:t xml:space="preserve">Healthy trails is very suitable for the whole family to the great wall with weekend walking, immersed in the fragrance of nature, below there is a small car park entrance so people can access convenient parking, trails can be very bumpy, but has set a number of chairs and rest stops along the way, so that persons with reduced mobility can enjoy the process of walking. In this Green full of mountain in, indefinite Shi will saw small animal in trees Shang on you greeted, health go of process in the also can enjoy most natural of cool, each tree tree on like is to you in fanned wind, dang walk to has vantage point of views King Taiwan Shi, on can watch big belly most beauty of landscape, night although no lamp, but Dang night Shi station in views King Taiwan Shi, that is will see and day not as of beauty.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data sources:</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Pictures are shot on their own.</w:t>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abstractNum w:abstractNumId="2">
    <w:lvl w:ilvl="0">
      <w:start w:val="1"/>
      <w:numFmt w:val="decimal"/>
      <w:lvlText w:val="%1."/>
      <w:lvlJc w:val="left"/>
      <w:pPr>
        <w:ind w:left="36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abstractNum w:abstractNumId="3">
    <w:lvl w:ilvl="0">
      <w:start w:val="1"/>
      <w:numFmt w:val="decimal"/>
      <w:lvlText w:val="%1."/>
      <w:lvlJc w:val="left"/>
      <w:pPr>
        <w:ind w:left="36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abstractNum w:abstractNumId="4">
    <w:lvl w:ilvl="0">
      <w:start w:val="1"/>
      <w:numFmt w:val="decimal"/>
      <w:lvlText w:val="%1."/>
      <w:lvlJc w:val="left"/>
      <w:pPr>
        <w:ind w:left="36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abstractNum w:abstractNumId="5">
    <w:lvl w:ilvl="0">
      <w:start w:val="1"/>
      <w:numFmt w:val="decimal"/>
      <w:lvlText w:val="%1."/>
      <w:lvlJc w:val="left"/>
      <w:pPr>
        <w:ind w:left="36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