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Wang Gao Liu:</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Wang Gao Liu, also known as "Tian Kan Wang", standing at the </w:t>
      </w:r>
      <w:r w:rsidDel="00000000" w:rsidR="00000000" w:rsidRPr="00000000">
        <w:rPr>
          <w:color w:val="ff0000"/>
          <w:rtl w:val="0"/>
        </w:rPr>
        <w:t xml:space="preserve">observatory</w:t>
      </w:r>
      <w:r w:rsidDel="00000000" w:rsidR="00000000" w:rsidRPr="00000000">
        <w:rPr>
          <w:rtl w:val="0"/>
        </w:rPr>
        <w:t xml:space="preserve"> platform </w:t>
      </w:r>
      <w:r w:rsidDel="00000000" w:rsidR="00000000" w:rsidRPr="00000000">
        <w:rPr>
          <w:color w:val="ff0000"/>
          <w:rtl w:val="0"/>
        </w:rPr>
        <w:t xml:space="preserve">overlooking Taichung</w:t>
      </w:r>
      <w:r w:rsidDel="00000000" w:rsidR="00000000" w:rsidRPr="00000000">
        <w:rPr>
          <w:rtl w:val="0"/>
        </w:rPr>
        <w:t xml:space="preserve"> Harbor area, Tatu River Plains, South of Changhua, and Taichung city; </w:t>
      </w:r>
      <w:r w:rsidDel="00000000" w:rsidR="00000000" w:rsidRPr="00000000">
        <w:rPr>
          <w:color w:val="ff0000"/>
          <w:rtl w:val="0"/>
        </w:rPr>
        <w:t xml:space="preserve">as a spectacular nightscape,</w:t>
      </w:r>
      <w:r w:rsidDel="00000000" w:rsidR="00000000" w:rsidRPr="00000000">
        <w:rPr>
          <w:rtl w:val="0"/>
        </w:rPr>
        <w:t xml:space="preserve"> you can see </w:t>
      </w:r>
      <w:r w:rsidDel="00000000" w:rsidR="00000000" w:rsidRPr="00000000">
        <w:rPr>
          <w:color w:val="ff0000"/>
          <w:rtl w:val="0"/>
        </w:rPr>
        <w:t xml:space="preserve">millions of lights of the household from the viewing deck.</w:t>
      </w:r>
      <w:r w:rsidDel="00000000" w:rsidR="00000000" w:rsidRPr="00000000">
        <w:rPr>
          <w:rtl w:val="0"/>
        </w:rPr>
        <w:t xml:space="preserve"> Because of the </w:t>
      </w:r>
      <w:r w:rsidDel="00000000" w:rsidR="00000000" w:rsidRPr="00000000">
        <w:rPr>
          <w:color w:val="ff0000"/>
          <w:rtl w:val="0"/>
        </w:rPr>
        <w:t xml:space="preserve">geographical</w:t>
      </w:r>
      <w:r w:rsidDel="00000000" w:rsidR="00000000" w:rsidRPr="00000000">
        <w:rPr>
          <w:rtl w:val="0"/>
        </w:rPr>
        <w:t xml:space="preserve"> advantage, Wang Gao Liu </w:t>
      </w:r>
      <w:r w:rsidDel="00000000" w:rsidR="00000000" w:rsidRPr="00000000">
        <w:rPr>
          <w:color w:val="ff0000"/>
          <w:rtl w:val="0"/>
        </w:rPr>
        <w:t xml:space="preserve">was regarded as the</w:t>
      </w:r>
      <w:r w:rsidDel="00000000" w:rsidR="00000000" w:rsidRPr="00000000">
        <w:rPr>
          <w:rtl w:val="0"/>
        </w:rPr>
        <w:t xml:space="preserve"> </w:t>
      </w:r>
      <w:r w:rsidDel="00000000" w:rsidR="00000000" w:rsidRPr="00000000">
        <w:rPr>
          <w:color w:val="ff0000"/>
          <w:rtl w:val="0"/>
        </w:rPr>
        <w:t xml:space="preserve">best place for star-gazing and sunrise/ sunset watching.</w:t>
      </w:r>
      <w:r w:rsidDel="00000000" w:rsidR="00000000" w:rsidRPr="00000000">
        <w:rPr>
          <w:rtl w:val="0"/>
        </w:rPr>
        <w:t xml:space="preserve"> </w:t>
      </w:r>
      <w:r w:rsidDel="00000000" w:rsidR="00000000" w:rsidRPr="00000000">
        <w:rPr>
          <w:color w:val="ff0000"/>
          <w:rtl w:val="0"/>
        </w:rPr>
        <w:t xml:space="preserve">The locals often refer Wan Gao Liao as "Tung Hai Castle (The Castle East to the Sea)"</w:t>
      </w:r>
      <w:r w:rsidDel="00000000" w:rsidR="00000000" w:rsidRPr="00000000">
        <w:rPr>
          <w:rtl w:val="0"/>
        </w:rPr>
        <w:t xml:space="preserve">. </w:t>
      </w:r>
      <w:r w:rsidDel="00000000" w:rsidR="00000000" w:rsidRPr="00000000">
        <w:rPr>
          <w:color w:val="ff0000"/>
          <w:rtl w:val="0"/>
        </w:rPr>
        <w:t xml:space="preserve">The spot has attracted vendors to this recently-formed market, making it a place that never sleeps</w:t>
      </w:r>
      <w:r w:rsidDel="00000000" w:rsidR="00000000" w:rsidRPr="00000000">
        <w:rPr>
          <w:rtl w:val="0"/>
        </w:rPr>
        <w:t xml:space="preserve">.</w:t>
      </w:r>
      <w:r w:rsidDel="00000000" w:rsidR="00000000" w:rsidRPr="00000000">
        <w:rPr>
          <w:rtl w:val="0"/>
        </w:rPr>
        <w:t xml:space="preserve"> Police patrol around to keep this area safe. Students from Ling Dong University or from other nearby schools also come to Wang Gao Liu with their friends to have fun. </w:t>
      </w:r>
      <w:r w:rsidDel="00000000" w:rsidR="00000000" w:rsidRPr="00000000">
        <w:rPr>
          <w:color w:val="ff0000"/>
          <w:rtl w:val="0"/>
        </w:rPr>
        <w:t xml:space="preserve">Also, the romantic night scene has made the place romantic for  lovers and couples.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transportation: Take Taichung Bus 323 or 325 line </w:t>
      </w:r>
    </w:p>
    <w:p w:rsidR="00000000" w:rsidDel="00000000" w:rsidP="00000000" w:rsidRDefault="00000000" w:rsidRPr="00000000">
      <w:pPr>
        <w:contextualSpacing w:val="0"/>
      </w:pPr>
      <w:r w:rsidDel="00000000" w:rsidR="00000000" w:rsidRPr="00000000">
        <w:rPr>
          <w:rtl w:val="0"/>
        </w:rPr>
        <w:t xml:space="preserve">By Car: Take the Wu Chuan West Road Interchange, towards the direction of Taichung Harbor; turn left on Chung Yung Road; turn right on Yung Chun South Road; keep straight to Wan Gao Liao.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source:</w:t>
      </w:r>
    </w:p>
    <w:p w:rsidR="00000000" w:rsidDel="00000000" w:rsidP="00000000" w:rsidRDefault="00000000" w:rsidRPr="00000000">
      <w:pPr>
        <w:contextualSpacing w:val="0"/>
      </w:pPr>
      <w:r w:rsidDel="00000000" w:rsidR="00000000" w:rsidRPr="00000000">
        <w:rPr>
          <w:rtl w:val="0"/>
        </w:rPr>
        <w:t xml:space="preserve">Traffic source:</w:t>
      </w:r>
    </w:p>
    <w:p w:rsidR="00000000" w:rsidDel="00000000" w:rsidP="00000000" w:rsidRDefault="00000000" w:rsidRPr="00000000">
      <w:r w:rsidDel="00000000" w:rsidR="00000000" w:rsidRPr="00000000">
        <w:rPr>
          <w:rtl w:val="0"/>
        </w:rPr>
        <w:t xml:space="preserve">Map source: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Tokai district:</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color w:val="ff0000"/>
          <w:rtl w:val="0"/>
        </w:rPr>
        <w:t xml:space="preserve">Sea circus</w:t>
      </w:r>
      <w:r w:rsidDel="00000000" w:rsidR="00000000" w:rsidRPr="00000000">
        <w:rPr>
          <w:rtl w:val="0"/>
        </w:rPr>
        <w:t xml:space="preserve"> is in Longjing </w:t>
      </w:r>
      <w:r w:rsidDel="00000000" w:rsidR="00000000" w:rsidRPr="00000000">
        <w:rPr>
          <w:color w:val="ff0000"/>
          <w:rtl w:val="0"/>
        </w:rPr>
        <w:t xml:space="preserve">zone</w:t>
      </w:r>
      <w:r w:rsidDel="00000000" w:rsidR="00000000" w:rsidRPr="00000000">
        <w:rPr>
          <w:rtl w:val="0"/>
        </w:rPr>
        <w:t xml:space="preserve"> in Taichung, because shopping district near East University, and drive many of the lively crowd, formed from a unique shopping district. Its scope of business district centered on Chungkang Road, Park Road, new road, Dong Yuan Xiang, a swimming pool, for the spindle, business mostly in restaurants, clothing, gourmet snacks, nature, diverse and affordable, locally very popular with commuters and students groups and applied by enthusiasts.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transportation:</w:t>
      </w:r>
    </w:p>
    <w:p w:rsidR="00000000" w:rsidDel="00000000" w:rsidP="00000000" w:rsidRDefault="00000000" w:rsidRPr="00000000">
      <w:pPr>
        <w:contextualSpacing w:val="0"/>
      </w:pPr>
      <w:r w:rsidDel="00000000" w:rsidR="00000000" w:rsidRPr="00000000">
        <w:rPr>
          <w:rtl w:val="0"/>
        </w:rPr>
        <w:t xml:space="preserve">Can take the Taiwan Railway to Taichung train station, transfer to line 303, 300, 326 got off the Villa line in the East China Sea, just a short walk to the.</w:t>
      </w:r>
    </w:p>
    <w:p w:rsidR="00000000" w:rsidDel="00000000" w:rsidP="00000000" w:rsidRDefault="00000000" w:rsidRPr="00000000">
      <w:pPr>
        <w:contextualSpacing w:val="0"/>
      </w:pPr>
      <w:r w:rsidDel="00000000" w:rsidR="00000000" w:rsidRPr="00000000">
        <w:rPr>
          <w:rtl w:val="0"/>
        </w:rPr>
        <w:t xml:space="preserve">Private car:</w:t>
      </w:r>
    </w:p>
    <w:p w:rsidR="00000000" w:rsidDel="00000000" w:rsidP="00000000" w:rsidRDefault="00000000" w:rsidRPr="00000000">
      <w:pPr>
        <w:widowControl w:val="0"/>
        <w:numPr>
          <w:ilvl w:val="0"/>
          <w:numId w:val="1"/>
        </w:numPr>
        <w:spacing w:after="0" w:before="0" w:line="240" w:lineRule="auto"/>
        <w:ind w:left="480" w:hanging="48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(Freeway, 1th) under Hong Kong interchange→12th road (towards Shalu)→The Chungkang Road→International Street→turn left to Xinxing road→Tokai district</w:t>
      </w:r>
    </w:p>
    <w:p w:rsidR="00000000" w:rsidDel="00000000" w:rsidP="00000000" w:rsidRDefault="00000000" w:rsidRPr="00000000">
      <w:pPr>
        <w:widowControl w:val="0"/>
        <w:numPr>
          <w:ilvl w:val="0"/>
          <w:numId w:val="1"/>
        </w:numPr>
        <w:spacing w:after="0" w:before="0" w:line="240" w:lineRule="auto"/>
        <w:ind w:left="480" w:hanging="48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(National road, 3rd) under the Longjing interchange→The Chungkang Road→International Street→turn left to Xinxing road→Tokai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source:</w:t>
      </w:r>
    </w:p>
    <w:p w:rsidR="00000000" w:rsidDel="00000000" w:rsidP="00000000" w:rsidRDefault="00000000" w:rsidRPr="00000000">
      <w:pPr>
        <w:contextualSpacing w:val="0"/>
      </w:pPr>
      <w:r w:rsidDel="00000000" w:rsidR="00000000" w:rsidRPr="00000000">
        <w:rPr>
          <w:rtl w:val="0"/>
        </w:rPr>
        <w:t xml:space="preserve">Traffic source:</w:t>
      </w:r>
    </w:p>
    <w:p w:rsidR="00000000" w:rsidDel="00000000" w:rsidP="00000000" w:rsidRDefault="00000000" w:rsidRPr="00000000">
      <w:r w:rsidDel="00000000" w:rsidR="00000000" w:rsidRPr="00000000">
        <w:rPr>
          <w:rtl w:val="0"/>
        </w:rPr>
        <w:t xml:space="preserve">Map source:</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Fresh Hotel:</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Fresh hotel is part of Taiwan digital optical technology group's leisure industry, follows offers guests "fresh, vibrant, natural" accommodations and dining comfort mission, must have access to State and local governments. Convenient access from the freeway and the Taichung high speed rail 10 minute drive and provides fixed scheduled shuttle service.</w:t>
      </w:r>
    </w:p>
    <w:p w:rsidR="00000000" w:rsidDel="00000000" w:rsidP="00000000" w:rsidRDefault="00000000" w:rsidRPr="00000000">
      <w:pPr>
        <w:contextualSpacing w:val="0"/>
      </w:pPr>
      <w:r w:rsidDel="00000000" w:rsidR="00000000" w:rsidRPr="00000000">
        <w:rPr>
          <w:rtl w:val="0"/>
        </w:rPr>
        <w:t xml:space="preserve">Fresh natural hot springs, after the Republic of China hot springs Tourism Association Japan Central hot springs Institute for field sampling and testing, identification of spring quality sodium bicarbonate spring, known as "Ji Tang beauty", is a weak alkaline hot springs, colorless, odorless water pure. Over indications including neuralgia, muscle pain, joint pain, and 50 shoulders abnormality, excerpts from Japan of the Spa table analysis book.</w:t>
      </w:r>
    </w:p>
    <w:p w:rsidR="00000000" w:rsidDel="00000000" w:rsidP="00000000" w:rsidRDefault="00000000" w:rsidRPr="00000000">
      <w:pPr>
        <w:contextualSpacing w:val="0"/>
      </w:pPr>
      <w:r w:rsidDel="00000000" w:rsidR="00000000" w:rsidRPr="00000000">
        <w:rPr>
          <w:rtl w:val="0"/>
        </w:rPr>
        <w:t xml:space="preserve">Awards have been awarded by the Republic of China March 101 made Spa made by Taichung city sightseeing tourist mark, in December awarded Taichung sightseeing tourist "energy saving and carbon reduction hotel" premium award, and in March of this year the ROC Tourism Bureau issued "a five-star tourist hotels," the glory.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Vision: to build the only five-star hotel in Taichung.</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 values:</w:t>
      </w:r>
    </w:p>
    <w:p w:rsidR="00000000" w:rsidDel="00000000" w:rsidP="00000000" w:rsidRDefault="00000000" w:rsidRPr="00000000">
      <w:pPr>
        <w:contextualSpacing w:val="0"/>
      </w:pPr>
      <w:r w:rsidDel="00000000" w:rsidR="00000000" w:rsidRPr="00000000">
        <w:rPr>
          <w:rtl w:val="0"/>
        </w:rPr>
        <w:t xml:space="preserve">With a good heart and enjoy everything.</w:t>
      </w:r>
    </w:p>
    <w:p w:rsidR="00000000" w:rsidDel="00000000" w:rsidP="00000000" w:rsidRDefault="00000000" w:rsidRPr="00000000">
      <w:pPr>
        <w:contextualSpacing w:val="0"/>
      </w:pPr>
      <w:r w:rsidDel="00000000" w:rsidR="00000000" w:rsidRPr="00000000">
        <w:rPr>
          <w:rtl w:val="0"/>
        </w:rPr>
        <w:t xml:space="preserve">With a sincere heart, treat everyone.</w:t>
      </w:r>
    </w:p>
    <w:p w:rsidR="00000000" w:rsidDel="00000000" w:rsidP="00000000" w:rsidRDefault="00000000" w:rsidRPr="00000000">
      <w:pPr>
        <w:contextualSpacing w:val="0"/>
      </w:pPr>
      <w:r w:rsidDel="00000000" w:rsidR="00000000" w:rsidRPr="00000000">
        <w:rPr>
          <w:rtl w:val="0"/>
        </w:rPr>
        <w:t xml:space="preserve">Responsible for the heart, complete things..</w:t>
      </w:r>
    </w:p>
    <w:p w:rsidR="00000000" w:rsidDel="00000000" w:rsidP="00000000" w:rsidRDefault="00000000" w:rsidRPr="00000000">
      <w:pPr>
        <w:contextualSpacing w:val="0"/>
      </w:pPr>
      <w:r w:rsidDel="00000000" w:rsidR="00000000" w:rsidRPr="00000000">
        <w:rPr>
          <w:rtl w:val="0"/>
        </w:rPr>
        <w:t xml:space="preserve">To him sincere heart, review of right and wrong.</w:t>
      </w:r>
    </w:p>
    <w:p w:rsidR="00000000" w:rsidDel="00000000" w:rsidP="00000000" w:rsidRDefault="00000000" w:rsidRPr="00000000">
      <w:pPr>
        <w:contextualSpacing w:val="0"/>
      </w:pPr>
      <w:r w:rsidDel="00000000" w:rsidR="00000000" w:rsidRPr="00000000">
        <w:rPr>
          <w:rtl w:val="0"/>
        </w:rPr>
        <w:t xml:space="preserve">Happy heart, to share their happiness.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Public transportation:</w:t>
      </w:r>
    </w:p>
    <w:p w:rsidR="00000000" w:rsidDel="00000000" w:rsidP="00000000" w:rsidRDefault="00000000" w:rsidRPr="00000000">
      <w:pPr>
        <w:contextualSpacing w:val="0"/>
      </w:pPr>
      <w:r w:rsidDel="00000000" w:rsidR="00000000" w:rsidRPr="00000000">
        <w:rPr>
          <w:rtl w:val="0"/>
        </w:rPr>
        <w:t xml:space="preserve">Private car:</w:t>
      </w:r>
    </w:p>
    <w:p w:rsidR="00000000" w:rsidDel="00000000" w:rsidP="00000000" w:rsidRDefault="00000000" w:rsidRPr="00000000">
      <w:pPr>
        <w:contextualSpacing w:val="0"/>
      </w:pPr>
      <w:r w:rsidDel="00000000" w:rsidR="00000000" w:rsidRPr="00000000">
        <w:rPr>
          <w:rtl w:val="0"/>
        </w:rPr>
        <w:t xml:space="preserve">Data source:</w:t>
      </w:r>
    </w:p>
    <w:p w:rsidR="00000000" w:rsidDel="00000000" w:rsidP="00000000" w:rsidRDefault="00000000" w:rsidRPr="00000000">
      <w:pPr>
        <w:contextualSpacing w:val="0"/>
      </w:pPr>
      <w:r w:rsidDel="00000000" w:rsidR="00000000" w:rsidRPr="00000000">
        <w:rPr>
          <w:rtl w:val="0"/>
        </w:rPr>
        <w:t xml:space="preserve">Traffic source:</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Map source:</w:t>
      </w:r>
    </w:p>
    <w:sectPr>
      <w:pgSz w:h="16838" w:w="11906"/>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80" w:firstLine="0"/>
      </w:pPr>
      <w:rPr/>
    </w:lvl>
    <w:lvl w:ilvl="1">
      <w:start w:val="1"/>
      <w:numFmt w:val="decimal"/>
      <w:lvlText w:val="%2、"/>
      <w:lvlJc w:val="left"/>
      <w:pPr>
        <w:ind w:left="960" w:firstLine="480"/>
      </w:pPr>
      <w:rPr/>
    </w:lvl>
    <w:lvl w:ilvl="2">
      <w:start w:val="1"/>
      <w:numFmt w:val="lowerRoman"/>
      <w:lvlText w:val="%3."/>
      <w:lvlJc w:val="right"/>
      <w:pPr>
        <w:ind w:left="1440" w:firstLine="960"/>
      </w:pPr>
      <w:rPr/>
    </w:lvl>
    <w:lvl w:ilvl="3">
      <w:start w:val="1"/>
      <w:numFmt w:val="decimal"/>
      <w:lvlText w:val="%4."/>
      <w:lvlJc w:val="left"/>
      <w:pPr>
        <w:ind w:left="1920" w:firstLine="1440"/>
      </w:pPr>
      <w:rPr/>
    </w:lvl>
    <w:lvl w:ilvl="4">
      <w:start w:val="1"/>
      <w:numFmt w:val="decimal"/>
      <w:lvlText w:val="%5、"/>
      <w:lvlJc w:val="left"/>
      <w:pPr>
        <w:ind w:left="2400" w:firstLine="1920"/>
      </w:pPr>
      <w:rPr/>
    </w:lvl>
    <w:lvl w:ilvl="5">
      <w:start w:val="1"/>
      <w:numFmt w:val="lowerRoman"/>
      <w:lvlText w:val="%6."/>
      <w:lvlJc w:val="right"/>
      <w:pPr>
        <w:ind w:left="2880" w:firstLine="2400"/>
      </w:pPr>
      <w:rPr/>
    </w:lvl>
    <w:lvl w:ilvl="6">
      <w:start w:val="1"/>
      <w:numFmt w:val="decimal"/>
      <w:lvlText w:val="%7."/>
      <w:lvlJc w:val="left"/>
      <w:pPr>
        <w:ind w:left="3360" w:firstLine="2880"/>
      </w:pPr>
      <w:rPr/>
    </w:lvl>
    <w:lvl w:ilvl="7">
      <w:start w:val="1"/>
      <w:numFmt w:val="decimal"/>
      <w:lvlText w:val="%8、"/>
      <w:lvlJc w:val="left"/>
      <w:pPr>
        <w:ind w:left="3840" w:firstLine="3360"/>
      </w:pPr>
      <w:rPr/>
    </w:lvl>
    <w:lvl w:ilvl="8">
      <w:start w:val="1"/>
      <w:numFmt w:val="lowerRoman"/>
      <w:lvlText w:val="%9."/>
      <w:lvlJc w:val="right"/>
      <w:pPr>
        <w:ind w:left="4320" w:firstLine="38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