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D5" w:rsidRDefault="00922CD5" w:rsidP="00922CD5">
      <w:pPr>
        <w:rPr>
          <w:rFonts w:ascii="Times New Roman" w:hAnsi="Times New Roman" w:cs="Times New Roman"/>
          <w:b/>
        </w:rPr>
      </w:pPr>
      <w:r>
        <w:rPr>
          <w:rFonts w:ascii="Times New Roman" w:hAnsi="Times New Roman" w:cs="Times New Roman"/>
          <w:b/>
        </w:rPr>
        <w:t>Figures and Tables</w:t>
      </w:r>
    </w:p>
    <w:p w:rsidR="00922CD5" w:rsidRDefault="00922CD5" w:rsidP="00922CD5">
      <w:pPr>
        <w:rPr>
          <w:rFonts w:ascii="Times New Roman" w:hAnsi="Times New Roman" w:cs="Times New Roman"/>
          <w:b/>
        </w:rPr>
      </w:pPr>
    </w:p>
    <w:p w:rsidR="00922CD5" w:rsidRDefault="00922CD5" w:rsidP="00922CD5">
      <w:pPr>
        <w:rPr>
          <w:rFonts w:ascii="Times New Roman" w:hAnsi="Times New Roman" w:cs="Times New Roman"/>
          <w:b/>
        </w:rPr>
      </w:pPr>
    </w:p>
    <w:p w:rsidR="00922CD5" w:rsidRDefault="00922CD5" w:rsidP="00922CD5">
      <w:pPr>
        <w:rPr>
          <w:rFonts w:ascii="Times New Roman" w:hAnsi="Times New Roman" w:cs="Times New Roman"/>
          <w:b/>
        </w:rPr>
      </w:pPr>
    </w:p>
    <w:p w:rsidR="00922CD5" w:rsidRDefault="00922CD5" w:rsidP="00922CD5">
      <w:pPr>
        <w:jc w:val="center"/>
        <w:rPr>
          <w:rFonts w:ascii="Times New Roman" w:hAnsi="Times New Roman" w:cs="Times New Roman"/>
          <w:b/>
        </w:rPr>
      </w:pPr>
    </w:p>
    <w:p w:rsidR="00922CD5" w:rsidRDefault="00922CD5" w:rsidP="00922CD5">
      <w:pPr>
        <w:jc w:val="center"/>
        <w:rPr>
          <w:rFonts w:ascii="Times New Roman" w:hAnsi="Times New Roman" w:cs="Times New Roman"/>
          <w:b/>
        </w:rPr>
      </w:pPr>
      <w:r>
        <w:rPr>
          <w:noProof/>
        </w:rPr>
        <w:drawing>
          <wp:inline distT="0" distB="0" distL="0" distR="0" wp14:anchorId="5EA6CFED" wp14:editId="4083A2C5">
            <wp:extent cx="5080936" cy="2671011"/>
            <wp:effectExtent l="0" t="0" r="24765" b="215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22CD5" w:rsidRDefault="00922CD5" w:rsidP="00922CD5">
      <w:pPr>
        <w:jc w:val="center"/>
        <w:rPr>
          <w:rFonts w:ascii="Times New Roman" w:hAnsi="Times New Roman" w:cs="Times New Roman"/>
          <w:b/>
        </w:rPr>
      </w:pPr>
    </w:p>
    <w:p w:rsidR="00922CD5" w:rsidRDefault="00922CD5" w:rsidP="00922CD5">
      <w:pPr>
        <w:jc w:val="center"/>
        <w:rPr>
          <w:rFonts w:ascii="Times New Roman" w:hAnsi="Times New Roman" w:cs="Times New Roman"/>
          <w:b/>
        </w:rPr>
      </w:pPr>
      <w:r w:rsidRPr="00065C43">
        <w:rPr>
          <w:rFonts w:ascii="Times New Roman" w:hAnsi="Times New Roman" w:cs="Times New Roman"/>
          <w:b/>
        </w:rPr>
        <w:t xml:space="preserve">Figure 1. States’ </w:t>
      </w:r>
      <w:proofErr w:type="spellStart"/>
      <w:r w:rsidRPr="00065C43">
        <w:rPr>
          <w:rFonts w:ascii="Times New Roman" w:hAnsi="Times New Roman" w:cs="Times New Roman"/>
          <w:b/>
        </w:rPr>
        <w:t>Policies</w:t>
      </w:r>
      <w:r w:rsidRPr="00D82184">
        <w:rPr>
          <w:rFonts w:ascii="Times New Roman" w:hAnsi="Times New Roman" w:cs="Times New Roman"/>
          <w:b/>
          <w:vertAlign w:val="superscript"/>
        </w:rPr>
        <w:t>a</w:t>
      </w:r>
      <w:proofErr w:type="spellEnd"/>
      <w:r w:rsidRPr="00065C43">
        <w:rPr>
          <w:rFonts w:ascii="Times New Roman" w:hAnsi="Times New Roman" w:cs="Times New Roman"/>
          <w:b/>
        </w:rPr>
        <w:t xml:space="preserve"> for Regulating Levels of Emigration </w:t>
      </w:r>
    </w:p>
    <w:p w:rsidR="00922CD5" w:rsidRDefault="00922CD5" w:rsidP="00922CD5">
      <w:pPr>
        <w:jc w:val="center"/>
        <w:rPr>
          <w:rFonts w:ascii="Times New Roman" w:hAnsi="Times New Roman" w:cs="Times New Roman"/>
          <w:b/>
        </w:rPr>
      </w:pPr>
      <w:proofErr w:type="gramStart"/>
      <w:r w:rsidRPr="00D82184">
        <w:rPr>
          <w:rFonts w:ascii="Times New Roman" w:hAnsi="Times New Roman" w:cs="Times New Roman"/>
          <w:vertAlign w:val="superscript"/>
        </w:rPr>
        <w:t>a</w:t>
      </w:r>
      <w:proofErr w:type="gramEnd"/>
      <w:r>
        <w:rPr>
          <w:rFonts w:ascii="Times New Roman" w:hAnsi="Times New Roman" w:cs="Times New Roman"/>
        </w:rPr>
        <w:t xml:space="preserve"> </w:t>
      </w:r>
      <w:r w:rsidRPr="00D82184">
        <w:rPr>
          <w:rFonts w:ascii="Times New Roman" w:hAnsi="Times New Roman" w:cs="Times New Roman"/>
          <w:sz w:val="20"/>
          <w:szCs w:val="20"/>
        </w:rPr>
        <w:t xml:space="preserve">No intervention refers to no policy action taken by governments to affect the level of outflows. Lower denotes policy </w:t>
      </w:r>
      <w:r>
        <w:rPr>
          <w:rFonts w:ascii="Times New Roman" w:hAnsi="Times New Roman" w:cs="Times New Roman"/>
          <w:sz w:val="20"/>
          <w:szCs w:val="20"/>
        </w:rPr>
        <w:t>changes</w:t>
      </w:r>
      <w:r w:rsidRPr="00D82184">
        <w:rPr>
          <w:rFonts w:ascii="Times New Roman" w:hAnsi="Times New Roman" w:cs="Times New Roman"/>
          <w:sz w:val="20"/>
          <w:szCs w:val="20"/>
        </w:rPr>
        <w:t xml:space="preserve"> </w:t>
      </w:r>
      <w:r>
        <w:rPr>
          <w:rFonts w:ascii="Times New Roman" w:hAnsi="Times New Roman" w:cs="Times New Roman"/>
          <w:sz w:val="20"/>
          <w:szCs w:val="20"/>
        </w:rPr>
        <w:t>implemented</w:t>
      </w:r>
      <w:r w:rsidRPr="00D82184">
        <w:rPr>
          <w:rFonts w:ascii="Times New Roman" w:hAnsi="Times New Roman" w:cs="Times New Roman"/>
          <w:sz w:val="20"/>
          <w:szCs w:val="20"/>
        </w:rPr>
        <w:t xml:space="preserve"> by governments to reduce the volume of outflows. Raise suggests policy modifications by governments to increase the volume of emigration. Finally, Maintain refers to policies enforced by governments to keep emigration at current levels. Source:</w:t>
      </w:r>
      <w:r w:rsidRPr="00D82184">
        <w:rPr>
          <w:rFonts w:ascii="Times New Roman" w:hAnsi="Times New Roman" w:cs="Times New Roman"/>
          <w:b/>
          <w:sz w:val="20"/>
          <w:szCs w:val="20"/>
        </w:rPr>
        <w:t xml:space="preserve"> </w:t>
      </w:r>
      <w:r w:rsidRPr="00D82184">
        <w:rPr>
          <w:rFonts w:ascii="Times New Roman" w:hAnsi="Times New Roman" w:cs="Times New Roman"/>
          <w:i/>
          <w:sz w:val="20"/>
          <w:szCs w:val="20"/>
          <w:lang w:val="en-GB"/>
        </w:rPr>
        <w:t>United Nations Population Policies, 2013 Revision</w:t>
      </w:r>
      <w:r>
        <w:rPr>
          <w:rFonts w:ascii="Times New Roman" w:hAnsi="Times New Roman" w:cs="Times New Roman"/>
          <w:i/>
          <w:lang w:val="en-GB"/>
        </w:rPr>
        <w:t>.</w:t>
      </w:r>
      <w:r>
        <w:rPr>
          <w:rFonts w:ascii="Times New Roman" w:hAnsi="Times New Roman" w:cs="Times New Roman"/>
          <w:b/>
        </w:rPr>
        <w:br w:type="page"/>
      </w:r>
    </w:p>
    <w:p w:rsidR="00922CD5" w:rsidRDefault="00922CD5" w:rsidP="00922CD5">
      <w:pPr>
        <w:jc w:val="center"/>
        <w:rPr>
          <w:rFonts w:ascii="Times New Roman" w:hAnsi="Times New Roman" w:cs="Times New Roman"/>
          <w:b/>
        </w:rPr>
      </w:pPr>
    </w:p>
    <w:p w:rsidR="00922CD5" w:rsidRDefault="00922CD5" w:rsidP="00922CD5">
      <w:pPr>
        <w:jc w:val="center"/>
        <w:rPr>
          <w:rFonts w:ascii="Times New Roman" w:hAnsi="Times New Roman" w:cs="Times New Roman"/>
          <w:b/>
        </w:rPr>
      </w:pPr>
      <w:r>
        <w:rPr>
          <w:noProof/>
        </w:rPr>
        <w:drawing>
          <wp:inline distT="0" distB="0" distL="0" distR="0" wp14:anchorId="34F6A860" wp14:editId="75A64503">
            <wp:extent cx="4736833" cy="2455645"/>
            <wp:effectExtent l="0" t="0" r="13335" b="336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22CD5" w:rsidRDefault="00922CD5" w:rsidP="00922CD5">
      <w:pPr>
        <w:jc w:val="center"/>
        <w:rPr>
          <w:rFonts w:ascii="Times New Roman" w:hAnsi="Times New Roman" w:cs="Times New Roman"/>
          <w:b/>
        </w:rPr>
      </w:pPr>
      <w:r>
        <w:rPr>
          <w:noProof/>
        </w:rPr>
        <w:drawing>
          <wp:inline distT="0" distB="0" distL="0" distR="0" wp14:anchorId="06BE4346" wp14:editId="4C278BBA">
            <wp:extent cx="4761631" cy="2591602"/>
            <wp:effectExtent l="0" t="0" r="13970" b="247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22CD5" w:rsidRDefault="00922CD5" w:rsidP="00922CD5">
      <w:pPr>
        <w:jc w:val="center"/>
        <w:rPr>
          <w:rFonts w:ascii="Times New Roman" w:hAnsi="Times New Roman" w:cs="Times New Roman"/>
          <w:b/>
        </w:rPr>
      </w:pPr>
    </w:p>
    <w:p w:rsidR="00922CD5" w:rsidRPr="00C06137" w:rsidRDefault="00922CD5" w:rsidP="00922CD5">
      <w:pPr>
        <w:pStyle w:val="NoSpacing"/>
        <w:spacing w:line="276" w:lineRule="auto"/>
        <w:jc w:val="center"/>
        <w:rPr>
          <w:rFonts w:ascii="Times New Roman" w:hAnsi="Times New Roman" w:cs="Times New Roman"/>
          <w:b/>
        </w:rPr>
      </w:pPr>
      <w:r w:rsidRPr="00C06137">
        <w:rPr>
          <w:rFonts w:ascii="Times New Roman" w:hAnsi="Times New Roman" w:cs="Times New Roman"/>
          <w:b/>
        </w:rPr>
        <w:t>Figure 2. Governments’ Perspectives on Levels of Emigration</w:t>
      </w:r>
    </w:p>
    <w:p w:rsidR="00922CD5" w:rsidRDefault="00922CD5" w:rsidP="00922CD5">
      <w:pPr>
        <w:jc w:val="center"/>
        <w:rPr>
          <w:rFonts w:ascii="Times New Roman" w:hAnsi="Times New Roman" w:cs="Times New Roman"/>
          <w:sz w:val="20"/>
          <w:vertAlign w:val="superscript"/>
        </w:rPr>
      </w:pPr>
      <w:proofErr w:type="gramStart"/>
      <w:r w:rsidRPr="00893597">
        <w:rPr>
          <w:rFonts w:ascii="Times New Roman" w:hAnsi="Times New Roman" w:cs="Times New Roman"/>
          <w:sz w:val="20"/>
          <w:vertAlign w:val="superscript"/>
        </w:rPr>
        <w:t>a</w:t>
      </w:r>
      <w:proofErr w:type="gramEnd"/>
      <w:r w:rsidRPr="00893597">
        <w:rPr>
          <w:rFonts w:ascii="Times New Roman" w:hAnsi="Times New Roman" w:cs="Times New Roman"/>
          <w:sz w:val="20"/>
        </w:rPr>
        <w:t xml:space="preserve"> Developed regions comprise Europe, Northern America, Australia and New Zealand, and Japan.</w:t>
      </w:r>
    </w:p>
    <w:p w:rsidR="00922CD5" w:rsidRDefault="00922CD5" w:rsidP="00922CD5">
      <w:pPr>
        <w:jc w:val="center"/>
        <w:rPr>
          <w:rFonts w:ascii="Times New Roman" w:hAnsi="Times New Roman" w:cs="Times New Roman"/>
          <w:b/>
        </w:rPr>
      </w:pPr>
      <w:proofErr w:type="gramStart"/>
      <w:r>
        <w:rPr>
          <w:rFonts w:ascii="Times New Roman" w:hAnsi="Times New Roman" w:cs="Times New Roman"/>
          <w:sz w:val="20"/>
          <w:vertAlign w:val="superscript"/>
        </w:rPr>
        <w:t>b</w:t>
      </w:r>
      <w:proofErr w:type="gramEnd"/>
      <w:r w:rsidRPr="00893597">
        <w:rPr>
          <w:rFonts w:ascii="Times New Roman" w:hAnsi="Times New Roman" w:cs="Times New Roman"/>
          <w:sz w:val="20"/>
          <w:vertAlign w:val="superscript"/>
        </w:rPr>
        <w:t xml:space="preserve"> </w:t>
      </w:r>
      <w:r w:rsidRPr="00893597">
        <w:rPr>
          <w:rFonts w:ascii="Times New Roman" w:hAnsi="Times New Roman" w:cs="Times New Roman"/>
          <w:sz w:val="20"/>
        </w:rPr>
        <w:t xml:space="preserve">Developing regions </w:t>
      </w:r>
      <w:r>
        <w:rPr>
          <w:rFonts w:ascii="Times New Roman" w:hAnsi="Times New Roman" w:cs="Times New Roman"/>
          <w:sz w:val="20"/>
        </w:rPr>
        <w:t>encompass</w:t>
      </w:r>
      <w:r w:rsidRPr="00893597">
        <w:rPr>
          <w:rFonts w:ascii="Times New Roman" w:hAnsi="Times New Roman" w:cs="Times New Roman"/>
          <w:sz w:val="20"/>
        </w:rPr>
        <w:t xml:space="preserve"> all regions of Africa, Asia (excluding Japan), Latin America and the Caribbean plus Melanesia, Micronesia and Polynesia.</w:t>
      </w:r>
      <w:r>
        <w:rPr>
          <w:rFonts w:ascii="Times New Roman" w:hAnsi="Times New Roman" w:cs="Times New Roman"/>
          <w:sz w:val="20"/>
        </w:rPr>
        <w:t xml:space="preserve"> </w:t>
      </w:r>
      <w:r w:rsidRPr="00D75237">
        <w:rPr>
          <w:rFonts w:ascii="Times New Roman" w:hAnsi="Times New Roman" w:cs="Times New Roman"/>
          <w:sz w:val="20"/>
        </w:rPr>
        <w:t>Source:</w:t>
      </w:r>
      <w:r w:rsidRPr="00D75237">
        <w:rPr>
          <w:rFonts w:ascii="Times New Roman" w:hAnsi="Times New Roman" w:cs="Times New Roman"/>
          <w:b/>
          <w:sz w:val="20"/>
        </w:rPr>
        <w:t xml:space="preserve"> </w:t>
      </w:r>
      <w:r w:rsidRPr="00D75237">
        <w:rPr>
          <w:rFonts w:ascii="Times New Roman" w:hAnsi="Times New Roman" w:cs="Times New Roman"/>
          <w:i/>
          <w:sz w:val="20"/>
          <w:lang w:val="en-GB"/>
        </w:rPr>
        <w:t>United Nations Popula</w:t>
      </w:r>
      <w:r>
        <w:rPr>
          <w:rFonts w:ascii="Times New Roman" w:hAnsi="Times New Roman" w:cs="Times New Roman"/>
          <w:i/>
          <w:sz w:val="20"/>
          <w:lang w:val="en-GB"/>
        </w:rPr>
        <w:t>tion Policie</w:t>
      </w:r>
      <w:r w:rsidRPr="00D75237">
        <w:rPr>
          <w:rFonts w:ascii="Times New Roman" w:hAnsi="Times New Roman" w:cs="Times New Roman"/>
          <w:i/>
          <w:sz w:val="20"/>
          <w:lang w:val="en-GB"/>
        </w:rPr>
        <w:t>s, 2013 Revision.</w:t>
      </w:r>
    </w:p>
    <w:p w:rsidR="00922CD5" w:rsidRDefault="00922CD5" w:rsidP="00922CD5">
      <w:pPr>
        <w:jc w:val="center"/>
        <w:rPr>
          <w:rFonts w:ascii="Times New Roman" w:hAnsi="Times New Roman" w:cs="Times New Roman"/>
        </w:rPr>
      </w:pPr>
      <w:r>
        <w:rPr>
          <w:rFonts w:ascii="Times New Roman" w:hAnsi="Times New Roman" w:cs="Times New Roman"/>
        </w:rPr>
        <w:br w:type="page"/>
      </w:r>
    </w:p>
    <w:p w:rsidR="00922CD5" w:rsidRDefault="00922CD5" w:rsidP="00922CD5">
      <w:pPr>
        <w:rPr>
          <w:rFonts w:ascii="Times New Roman" w:hAnsi="Times New Roman" w:cs="Times New Roman"/>
        </w:rPr>
      </w:pPr>
    </w:p>
    <w:p w:rsidR="00922CD5" w:rsidRDefault="00922CD5" w:rsidP="00922CD5">
      <w:pPr>
        <w:rPr>
          <w:rFonts w:ascii="Times New Roman" w:hAnsi="Times New Roman" w:cs="Times New Roman"/>
        </w:rPr>
      </w:pPr>
    </w:p>
    <w:p w:rsidR="00922CD5" w:rsidRDefault="00922CD5" w:rsidP="00922CD5">
      <w:pPr>
        <w:jc w:val="center"/>
        <w:rPr>
          <w:rFonts w:ascii="Times New Roman" w:hAnsi="Times New Roman" w:cs="Times New Roman"/>
        </w:rPr>
      </w:pPr>
      <w:r>
        <w:rPr>
          <w:noProof/>
        </w:rPr>
        <w:drawing>
          <wp:inline distT="0" distB="0" distL="0" distR="0" wp14:anchorId="67DF2D33" wp14:editId="77D5FC4E">
            <wp:extent cx="4152900" cy="28477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152900" cy="2847703"/>
                    </a:xfrm>
                    <a:prstGeom prst="rect">
                      <a:avLst/>
                    </a:prstGeom>
                  </pic:spPr>
                </pic:pic>
              </a:graphicData>
            </a:graphic>
          </wp:inline>
        </w:drawing>
      </w:r>
    </w:p>
    <w:p w:rsidR="00922CD5" w:rsidRDefault="00922CD5" w:rsidP="00922CD5">
      <w:pPr>
        <w:jc w:val="center"/>
        <w:rPr>
          <w:rFonts w:ascii="Times New Roman" w:hAnsi="Times New Roman" w:cs="Times New Roman"/>
        </w:rPr>
      </w:pPr>
    </w:p>
    <w:p w:rsidR="00922CD5" w:rsidRPr="001445A8" w:rsidRDefault="00922CD5" w:rsidP="00922CD5">
      <w:pPr>
        <w:jc w:val="center"/>
        <w:rPr>
          <w:rFonts w:ascii="Times New Roman" w:hAnsi="Times New Roman" w:cs="Times New Roman"/>
          <w:b/>
        </w:rPr>
      </w:pPr>
      <w:r w:rsidRPr="001445A8">
        <w:rPr>
          <w:rFonts w:ascii="Times New Roman" w:hAnsi="Times New Roman" w:cs="Times New Roman"/>
          <w:b/>
        </w:rPr>
        <w:t xml:space="preserve">Figure 3. </w:t>
      </w:r>
      <w:r>
        <w:rPr>
          <w:rFonts w:ascii="Times New Roman" w:hAnsi="Times New Roman" w:cs="Times New Roman"/>
          <w:b/>
        </w:rPr>
        <w:t>Survival Estimates by Income Levels</w:t>
      </w:r>
      <w:r w:rsidRPr="001445A8">
        <w:rPr>
          <w:rFonts w:ascii="Times New Roman" w:hAnsi="Times New Roman" w:cs="Times New Roman"/>
          <w:b/>
        </w:rPr>
        <w:br w:type="page"/>
      </w:r>
    </w:p>
    <w:p w:rsidR="00922CD5" w:rsidRDefault="00922CD5" w:rsidP="00922CD5">
      <w:pPr>
        <w:jc w:val="center"/>
        <w:rPr>
          <w:rFonts w:ascii="Times New Roman" w:hAnsi="Times New Roman" w:cs="Times New Roman"/>
        </w:rPr>
      </w:pPr>
      <w:r>
        <w:rPr>
          <w:noProof/>
        </w:rPr>
        <w:drawing>
          <wp:inline distT="0" distB="0" distL="0" distR="0" wp14:anchorId="1C551F3F" wp14:editId="089C881D">
            <wp:extent cx="3500438" cy="2400300"/>
            <wp:effectExtent l="0" t="0" r="508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3502484" cy="2401703"/>
                    </a:xfrm>
                    <a:prstGeom prst="rect">
                      <a:avLst/>
                    </a:prstGeom>
                  </pic:spPr>
                </pic:pic>
              </a:graphicData>
            </a:graphic>
          </wp:inline>
        </w:drawing>
      </w:r>
      <w:r>
        <w:rPr>
          <w:noProof/>
        </w:rPr>
        <w:drawing>
          <wp:inline distT="0" distB="0" distL="0" distR="0" wp14:anchorId="781E6AF1" wp14:editId="41F99869">
            <wp:extent cx="3496160" cy="2397369"/>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a:stretch>
                      <a:fillRect/>
                    </a:stretch>
                  </pic:blipFill>
                  <pic:spPr>
                    <a:xfrm>
                      <a:off x="0" y="0"/>
                      <a:ext cx="3501932" cy="2401327"/>
                    </a:xfrm>
                    <a:prstGeom prst="rect">
                      <a:avLst/>
                    </a:prstGeom>
                  </pic:spPr>
                </pic:pic>
              </a:graphicData>
            </a:graphic>
          </wp:inline>
        </w:drawing>
      </w:r>
    </w:p>
    <w:p w:rsidR="00922CD5" w:rsidRDefault="00922CD5" w:rsidP="00922CD5">
      <w:pPr>
        <w:jc w:val="center"/>
        <w:rPr>
          <w:rFonts w:ascii="Times New Roman" w:hAnsi="Times New Roman" w:cs="Times New Roman"/>
        </w:rPr>
      </w:pPr>
      <w:r>
        <w:rPr>
          <w:noProof/>
        </w:rPr>
        <w:drawing>
          <wp:inline distT="0" distB="0" distL="0" distR="0" wp14:anchorId="2CD1CEFF" wp14:editId="07FED865">
            <wp:extent cx="3508985" cy="2406162"/>
            <wp:effectExtent l="0" t="0" r="0" b="698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stretch>
                      <a:fillRect/>
                    </a:stretch>
                  </pic:blipFill>
                  <pic:spPr>
                    <a:xfrm>
                      <a:off x="0" y="0"/>
                      <a:ext cx="3514686" cy="2410071"/>
                    </a:xfrm>
                    <a:prstGeom prst="rect">
                      <a:avLst/>
                    </a:prstGeom>
                  </pic:spPr>
                </pic:pic>
              </a:graphicData>
            </a:graphic>
          </wp:inline>
        </w:drawing>
      </w:r>
    </w:p>
    <w:p w:rsidR="00922CD5" w:rsidRDefault="00922CD5" w:rsidP="00922CD5">
      <w:pPr>
        <w:jc w:val="center"/>
        <w:rPr>
          <w:rFonts w:ascii="Times New Roman" w:hAnsi="Times New Roman" w:cs="Times New Roman"/>
        </w:rPr>
      </w:pPr>
    </w:p>
    <w:p w:rsidR="00922CD5" w:rsidRDefault="00922CD5" w:rsidP="00922CD5">
      <w:pPr>
        <w:jc w:val="center"/>
        <w:rPr>
          <w:rFonts w:ascii="Times New Roman" w:hAnsi="Times New Roman" w:cs="Times New Roman"/>
          <w:b/>
        </w:rPr>
      </w:pPr>
      <w:r w:rsidRPr="001445A8">
        <w:rPr>
          <w:rFonts w:ascii="Times New Roman" w:hAnsi="Times New Roman" w:cs="Times New Roman"/>
          <w:b/>
        </w:rPr>
        <w:t xml:space="preserve">Figure 4. Survival Estimates by above and below Emigration Rates </w:t>
      </w:r>
      <w:proofErr w:type="spellStart"/>
      <w:r w:rsidRPr="001445A8">
        <w:rPr>
          <w:rFonts w:ascii="Times New Roman" w:hAnsi="Times New Roman" w:cs="Times New Roman"/>
          <w:b/>
        </w:rPr>
        <w:t>Means</w:t>
      </w:r>
      <w:r>
        <w:rPr>
          <w:rFonts w:ascii="Times New Roman" w:hAnsi="Times New Roman" w:cs="Times New Roman"/>
          <w:b/>
          <w:vertAlign w:val="superscript"/>
        </w:rPr>
        <w:t>a</w:t>
      </w:r>
      <w:proofErr w:type="spellEnd"/>
    </w:p>
    <w:p w:rsidR="00922CD5" w:rsidRPr="001B3F4B" w:rsidRDefault="00922CD5" w:rsidP="00922CD5">
      <w:pPr>
        <w:jc w:val="center"/>
        <w:rPr>
          <w:rFonts w:ascii="Times New Roman" w:hAnsi="Times New Roman" w:cs="Times New Roman"/>
          <w:sz w:val="20"/>
          <w:szCs w:val="20"/>
        </w:rPr>
      </w:pPr>
      <w:proofErr w:type="gramStart"/>
      <w:r w:rsidRPr="001B3F4B">
        <w:rPr>
          <w:rFonts w:ascii="Times New Roman" w:hAnsi="Times New Roman" w:cs="Times New Roman"/>
          <w:sz w:val="20"/>
          <w:szCs w:val="20"/>
          <w:vertAlign w:val="superscript"/>
        </w:rPr>
        <w:t>a</w:t>
      </w:r>
      <w:proofErr w:type="gramEnd"/>
      <w:r>
        <w:rPr>
          <w:rFonts w:ascii="Times New Roman" w:hAnsi="Times New Roman" w:cs="Times New Roman"/>
          <w:sz w:val="20"/>
          <w:szCs w:val="20"/>
        </w:rPr>
        <w:t xml:space="preserve"> Above mean</w:t>
      </w:r>
      <w:r w:rsidRPr="001B3F4B">
        <w:rPr>
          <w:rFonts w:ascii="Times New Roman" w:hAnsi="Times New Roman" w:cs="Times New Roman"/>
          <w:sz w:val="20"/>
          <w:szCs w:val="20"/>
        </w:rPr>
        <w:t xml:space="preserve">=1; below mean=0 in all </w:t>
      </w:r>
      <w:r>
        <w:rPr>
          <w:rFonts w:ascii="Times New Roman" w:hAnsi="Times New Roman" w:cs="Times New Roman"/>
          <w:sz w:val="20"/>
          <w:szCs w:val="20"/>
        </w:rPr>
        <w:t>categories of emigration rates</w:t>
      </w:r>
      <w:r w:rsidRPr="001B3F4B">
        <w:rPr>
          <w:rFonts w:ascii="Times New Roman" w:hAnsi="Times New Roman" w:cs="Times New Roman"/>
          <w:sz w:val="20"/>
          <w:szCs w:val="20"/>
        </w:rPr>
        <w:t>.</w:t>
      </w:r>
      <w:r w:rsidRPr="001B3F4B">
        <w:rPr>
          <w:rFonts w:ascii="Times New Roman" w:hAnsi="Times New Roman" w:cs="Times New Roman"/>
          <w:sz w:val="20"/>
          <w:szCs w:val="20"/>
        </w:rPr>
        <w:br w:type="page"/>
      </w:r>
    </w:p>
    <w:p w:rsidR="00922CD5" w:rsidRPr="00F960A2" w:rsidRDefault="00922CD5" w:rsidP="00922CD5">
      <w:pPr>
        <w:jc w:val="center"/>
        <w:rPr>
          <w:rFonts w:ascii="Times New Roman" w:hAnsi="Times New Roman" w:cs="Times New Roman"/>
        </w:rPr>
        <w:sectPr w:rsidR="00922CD5" w:rsidRPr="00F960A2" w:rsidSect="007F085F">
          <w:pgSz w:w="12240" w:h="15840"/>
          <w:pgMar w:top="1440" w:right="1440" w:bottom="1440" w:left="1440" w:header="720" w:footer="720" w:gutter="0"/>
          <w:cols w:space="720"/>
          <w:docGrid w:linePitch="360"/>
        </w:sectPr>
      </w:pPr>
    </w:p>
    <w:p w:rsidR="00922CD5" w:rsidRDefault="00922CD5" w:rsidP="00922CD5">
      <w:pPr>
        <w:rPr>
          <w:rFonts w:ascii="Times New Roman" w:hAnsi="Times New Roman" w:cs="Times New Roman"/>
          <w:b/>
        </w:rPr>
      </w:pPr>
      <w:r>
        <w:rPr>
          <w:rFonts w:ascii="Times New Roman" w:hAnsi="Times New Roman" w:cs="Times New Roman"/>
          <w:b/>
        </w:rPr>
        <w:t>Table 1. Su</w:t>
      </w:r>
      <w:bookmarkStart w:id="0" w:name="_GoBack"/>
      <w:bookmarkEnd w:id="0"/>
      <w:r>
        <w:rPr>
          <w:rFonts w:ascii="Times New Roman" w:hAnsi="Times New Roman" w:cs="Times New Roman"/>
          <w:b/>
        </w:rPr>
        <w:t>mmary Statistics</w:t>
      </w:r>
    </w:p>
    <w:tbl>
      <w:tblPr>
        <w:tblW w:w="13515" w:type="dxa"/>
        <w:tblInd w:w="93" w:type="dxa"/>
        <w:tblLayout w:type="fixed"/>
        <w:tblLook w:val="04A0" w:firstRow="1" w:lastRow="0" w:firstColumn="1" w:lastColumn="0" w:noHBand="0" w:noVBand="1"/>
      </w:tblPr>
      <w:tblGrid>
        <w:gridCol w:w="2445"/>
        <w:gridCol w:w="810"/>
        <w:gridCol w:w="1080"/>
        <w:gridCol w:w="1080"/>
        <w:gridCol w:w="944"/>
        <w:gridCol w:w="1036"/>
        <w:gridCol w:w="3600"/>
        <w:gridCol w:w="450"/>
        <w:gridCol w:w="1710"/>
        <w:gridCol w:w="360"/>
      </w:tblGrid>
      <w:tr w:rsidR="00922CD5" w:rsidRPr="00B079E0" w:rsidTr="00135F6E">
        <w:trPr>
          <w:trHeight w:val="280"/>
        </w:trPr>
        <w:tc>
          <w:tcPr>
            <w:tcW w:w="2445" w:type="dxa"/>
            <w:tcBorders>
              <w:top w:val="single" w:sz="4" w:space="0" w:color="auto"/>
              <w:left w:val="nil"/>
              <w:bottom w:val="single" w:sz="4" w:space="0" w:color="auto"/>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Variable</w:t>
            </w:r>
          </w:p>
        </w:tc>
        <w:tc>
          <w:tcPr>
            <w:tcW w:w="810" w:type="dxa"/>
            <w:tcBorders>
              <w:top w:val="single" w:sz="4" w:space="0" w:color="auto"/>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Obs.</w:t>
            </w:r>
          </w:p>
        </w:tc>
        <w:tc>
          <w:tcPr>
            <w:tcW w:w="1080" w:type="dxa"/>
            <w:tcBorders>
              <w:top w:val="single" w:sz="4" w:space="0" w:color="auto"/>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Mean</w:t>
            </w:r>
          </w:p>
        </w:tc>
        <w:tc>
          <w:tcPr>
            <w:tcW w:w="1080" w:type="dxa"/>
            <w:tcBorders>
              <w:top w:val="single" w:sz="4" w:space="0" w:color="auto"/>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Std. Dev.</w:t>
            </w:r>
          </w:p>
        </w:tc>
        <w:tc>
          <w:tcPr>
            <w:tcW w:w="944" w:type="dxa"/>
            <w:tcBorders>
              <w:top w:val="single" w:sz="4" w:space="0" w:color="auto"/>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Min</w:t>
            </w:r>
          </w:p>
        </w:tc>
        <w:tc>
          <w:tcPr>
            <w:tcW w:w="1036" w:type="dxa"/>
            <w:tcBorders>
              <w:top w:val="single" w:sz="4" w:space="0" w:color="auto"/>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Max</w:t>
            </w:r>
          </w:p>
        </w:tc>
        <w:tc>
          <w:tcPr>
            <w:tcW w:w="4050" w:type="dxa"/>
            <w:gridSpan w:val="2"/>
            <w:tcBorders>
              <w:top w:val="single" w:sz="4" w:space="0" w:color="auto"/>
              <w:left w:val="nil"/>
              <w:bottom w:val="single" w:sz="4" w:space="0" w:color="auto"/>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Definition</w:t>
            </w:r>
          </w:p>
        </w:tc>
        <w:tc>
          <w:tcPr>
            <w:tcW w:w="2070" w:type="dxa"/>
            <w:gridSpan w:val="2"/>
            <w:tcBorders>
              <w:top w:val="single" w:sz="4" w:space="0" w:color="auto"/>
              <w:bottom w:val="single" w:sz="4" w:space="0" w:color="auto"/>
            </w:tcBorders>
          </w:tcPr>
          <w:p w:rsidR="00922CD5" w:rsidRPr="00B079E0" w:rsidRDefault="00922CD5" w:rsidP="00135F6E">
            <w:pPr>
              <w:rPr>
                <w:sz w:val="22"/>
                <w:szCs w:val="22"/>
              </w:rPr>
            </w:pPr>
            <w:r w:rsidRPr="00B079E0">
              <w:rPr>
                <w:rFonts w:ascii="Times New Roman" w:eastAsia="Times New Roman" w:hAnsi="Times New Roman" w:cs="Times New Roman"/>
                <w:color w:val="000000"/>
                <w:sz w:val="22"/>
                <w:szCs w:val="22"/>
              </w:rPr>
              <w:t>Source</w:t>
            </w:r>
          </w:p>
        </w:tc>
      </w:tr>
      <w:tr w:rsidR="00922CD5" w:rsidRPr="00B079E0" w:rsidTr="00135F6E">
        <w:trPr>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Regime type</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2,428</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1.700</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7.874</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10</w:t>
            </w:r>
          </w:p>
        </w:tc>
        <w:tc>
          <w:tcPr>
            <w:tcW w:w="4050" w:type="dxa"/>
            <w:gridSpan w:val="2"/>
            <w:tcBorders>
              <w:top w:val="nil"/>
              <w:left w:val="nil"/>
              <w:bottom w:val="nil"/>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Scale from -10 to +10</w:t>
            </w:r>
          </w:p>
        </w:tc>
        <w:tc>
          <w:tcPr>
            <w:tcW w:w="2070" w:type="dxa"/>
            <w:gridSpan w:val="2"/>
            <w:tcBorders>
              <w:top w:val="single" w:sz="4" w:space="0" w:color="auto"/>
            </w:tcBorders>
          </w:tcPr>
          <w:p w:rsidR="00922CD5" w:rsidRPr="00B079E0" w:rsidRDefault="00922CD5" w:rsidP="00135F6E">
            <w:pPr>
              <w:rPr>
                <w:sz w:val="22"/>
                <w:szCs w:val="22"/>
              </w:rPr>
            </w:pPr>
            <w:r w:rsidRPr="00B079E0">
              <w:rPr>
                <w:rFonts w:ascii="Times New Roman" w:eastAsia="Times New Roman" w:hAnsi="Times New Roman" w:cs="Times New Roman"/>
                <w:color w:val="000000"/>
                <w:sz w:val="22"/>
                <w:szCs w:val="22"/>
              </w:rPr>
              <w:t>Polity IV</w:t>
            </w:r>
          </w:p>
        </w:tc>
      </w:tr>
      <w:tr w:rsidR="00922CD5" w:rsidRPr="00B079E0" w:rsidTr="00135F6E">
        <w:trPr>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Total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2,430</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0.415</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0.824</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0.000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7.000</w:t>
            </w:r>
          </w:p>
        </w:tc>
        <w:tc>
          <w:tcPr>
            <w:tcW w:w="4050" w:type="dxa"/>
            <w:gridSpan w:val="2"/>
            <w:tcBorders>
              <w:top w:val="nil"/>
              <w:left w:val="nil"/>
              <w:bottom w:val="nil"/>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Emigration rate</w:t>
            </w:r>
            <w:r>
              <w:rPr>
                <w:rFonts w:ascii="Times New Roman" w:eastAsia="Times New Roman" w:hAnsi="Times New Roman" w:cs="Times New Roman"/>
                <w:color w:val="000000"/>
                <w:sz w:val="22"/>
                <w:szCs w:val="22"/>
              </w:rPr>
              <w:t xml:space="preserve"> </w:t>
            </w:r>
          </w:p>
        </w:tc>
        <w:tc>
          <w:tcPr>
            <w:tcW w:w="2070" w:type="dxa"/>
            <w:gridSpan w:val="2"/>
          </w:tcPr>
          <w:p w:rsidR="00922CD5" w:rsidRPr="00B079E0" w:rsidRDefault="00922CD5" w:rsidP="00135F6E">
            <w:pPr>
              <w:rPr>
                <w:sz w:val="22"/>
                <w:szCs w:val="22"/>
              </w:rPr>
            </w:pPr>
            <w:proofErr w:type="spellStart"/>
            <w:r w:rsidRPr="00B079E0">
              <w:rPr>
                <w:rFonts w:ascii="Times New Roman" w:eastAsia="Times New Roman" w:hAnsi="Times New Roman" w:cs="Times New Roman"/>
                <w:color w:val="000000"/>
                <w:sz w:val="22"/>
                <w:szCs w:val="22"/>
              </w:rPr>
              <w:t>Brucker</w:t>
            </w:r>
            <w:proofErr w:type="spellEnd"/>
            <w:r w:rsidRPr="00B079E0">
              <w:rPr>
                <w:rFonts w:ascii="Times New Roman" w:eastAsia="Times New Roman" w:hAnsi="Times New Roman" w:cs="Times New Roman"/>
                <w:color w:val="000000"/>
                <w:sz w:val="22"/>
                <w:szCs w:val="22"/>
              </w:rPr>
              <w:t xml:space="preserve"> et al.</w:t>
            </w:r>
          </w:p>
        </w:tc>
      </w:tr>
      <w:tr w:rsidR="00922CD5" w:rsidRPr="00B079E0" w:rsidTr="00135F6E">
        <w:trPr>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Low skill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2,430</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0.520</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1.200</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0.000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12.700</w:t>
            </w:r>
          </w:p>
        </w:tc>
        <w:tc>
          <w:tcPr>
            <w:tcW w:w="4050" w:type="dxa"/>
            <w:gridSpan w:val="2"/>
            <w:tcBorders>
              <w:top w:val="nil"/>
              <w:left w:val="nil"/>
              <w:bottom w:val="nil"/>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Emigration rate</w:t>
            </w:r>
          </w:p>
        </w:tc>
        <w:tc>
          <w:tcPr>
            <w:tcW w:w="2070" w:type="dxa"/>
            <w:gridSpan w:val="2"/>
          </w:tcPr>
          <w:p w:rsidR="00922CD5" w:rsidRPr="00B079E0" w:rsidRDefault="00922CD5" w:rsidP="00135F6E">
            <w:pPr>
              <w:rPr>
                <w:sz w:val="22"/>
                <w:szCs w:val="22"/>
              </w:rPr>
            </w:pPr>
            <w:proofErr w:type="spellStart"/>
            <w:r w:rsidRPr="00B079E0">
              <w:rPr>
                <w:rFonts w:ascii="Times New Roman" w:eastAsia="Times New Roman" w:hAnsi="Times New Roman" w:cs="Times New Roman"/>
                <w:color w:val="000000"/>
                <w:sz w:val="22"/>
                <w:szCs w:val="22"/>
              </w:rPr>
              <w:t>Brucker</w:t>
            </w:r>
            <w:proofErr w:type="spellEnd"/>
            <w:r w:rsidRPr="00B079E0">
              <w:rPr>
                <w:rFonts w:ascii="Times New Roman" w:eastAsia="Times New Roman" w:hAnsi="Times New Roman" w:cs="Times New Roman"/>
                <w:color w:val="000000"/>
                <w:sz w:val="22"/>
                <w:szCs w:val="22"/>
              </w:rPr>
              <w:t xml:space="preserve"> et al.</w:t>
            </w:r>
          </w:p>
        </w:tc>
      </w:tr>
      <w:tr w:rsidR="00922CD5" w:rsidRPr="00B079E0" w:rsidTr="00135F6E">
        <w:trPr>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High skill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2,430</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1.239</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2.339</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0.000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23.660</w:t>
            </w:r>
          </w:p>
        </w:tc>
        <w:tc>
          <w:tcPr>
            <w:tcW w:w="4050" w:type="dxa"/>
            <w:gridSpan w:val="2"/>
            <w:tcBorders>
              <w:top w:val="nil"/>
              <w:left w:val="nil"/>
              <w:bottom w:val="nil"/>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Emigration rate</w:t>
            </w:r>
          </w:p>
        </w:tc>
        <w:tc>
          <w:tcPr>
            <w:tcW w:w="2070" w:type="dxa"/>
            <w:gridSpan w:val="2"/>
          </w:tcPr>
          <w:p w:rsidR="00922CD5" w:rsidRPr="00B079E0" w:rsidRDefault="00922CD5" w:rsidP="00135F6E">
            <w:pPr>
              <w:rPr>
                <w:sz w:val="22"/>
                <w:szCs w:val="22"/>
              </w:rPr>
            </w:pPr>
            <w:proofErr w:type="spellStart"/>
            <w:r w:rsidRPr="00B079E0">
              <w:rPr>
                <w:rFonts w:ascii="Times New Roman" w:eastAsia="Times New Roman" w:hAnsi="Times New Roman" w:cs="Times New Roman"/>
                <w:color w:val="000000"/>
                <w:sz w:val="22"/>
                <w:szCs w:val="22"/>
              </w:rPr>
              <w:t>Brucker</w:t>
            </w:r>
            <w:proofErr w:type="spellEnd"/>
            <w:r w:rsidRPr="00B079E0">
              <w:rPr>
                <w:rFonts w:ascii="Times New Roman" w:eastAsia="Times New Roman" w:hAnsi="Times New Roman" w:cs="Times New Roman"/>
                <w:color w:val="000000"/>
                <w:sz w:val="22"/>
                <w:szCs w:val="22"/>
              </w:rPr>
              <w:t xml:space="preserve"> et al.</w:t>
            </w:r>
          </w:p>
        </w:tc>
      </w:tr>
      <w:tr w:rsidR="00922CD5" w:rsidRPr="00B079E0" w:rsidTr="00135F6E">
        <w:trPr>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Population growth</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2,424</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1.636</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1.709</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-7.597</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17.483</w:t>
            </w:r>
          </w:p>
        </w:tc>
        <w:tc>
          <w:tcPr>
            <w:tcW w:w="4050" w:type="dxa"/>
            <w:gridSpan w:val="2"/>
            <w:tcBorders>
              <w:top w:val="nil"/>
              <w:left w:val="nil"/>
              <w:bottom w:val="nil"/>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Annual population growth</w:t>
            </w:r>
          </w:p>
        </w:tc>
        <w:tc>
          <w:tcPr>
            <w:tcW w:w="2070" w:type="dxa"/>
            <w:gridSpan w:val="2"/>
          </w:tcPr>
          <w:p w:rsidR="00922CD5" w:rsidRPr="00B079E0" w:rsidRDefault="00922CD5" w:rsidP="00135F6E">
            <w:pPr>
              <w:rPr>
                <w:sz w:val="22"/>
                <w:szCs w:val="22"/>
              </w:rPr>
            </w:pPr>
            <w:r w:rsidRPr="00B079E0">
              <w:rPr>
                <w:rFonts w:ascii="Times New Roman" w:eastAsia="Times New Roman" w:hAnsi="Times New Roman" w:cs="Times New Roman"/>
                <w:color w:val="000000"/>
                <w:sz w:val="22"/>
                <w:szCs w:val="22"/>
              </w:rPr>
              <w:t>World Bank</w:t>
            </w:r>
            <w:r>
              <w:rPr>
                <w:rFonts w:ascii="Times New Roman" w:eastAsia="Times New Roman" w:hAnsi="Times New Roman" w:cs="Times New Roman"/>
                <w:color w:val="000000"/>
                <w:sz w:val="22"/>
                <w:szCs w:val="22"/>
              </w:rPr>
              <w:t xml:space="preserve"> </w:t>
            </w:r>
          </w:p>
        </w:tc>
      </w:tr>
      <w:tr w:rsidR="00922CD5" w:rsidRPr="00B079E0" w:rsidTr="00135F6E">
        <w:trPr>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Density</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2,410</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161.57</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589.05</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1.24</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w:t>
            </w:r>
            <w:r w:rsidRPr="00B079E0">
              <w:rPr>
                <w:rFonts w:ascii="Times New Roman" w:eastAsia="Times New Roman" w:hAnsi="Times New Roman" w:cs="Times New Roman"/>
                <w:color w:val="000000"/>
                <w:sz w:val="22"/>
                <w:szCs w:val="22"/>
              </w:rPr>
              <w:t>252.43</w:t>
            </w:r>
          </w:p>
        </w:tc>
        <w:tc>
          <w:tcPr>
            <w:tcW w:w="4050" w:type="dxa"/>
            <w:gridSpan w:val="2"/>
            <w:tcBorders>
              <w:top w:val="nil"/>
              <w:left w:val="nil"/>
              <w:bottom w:val="nil"/>
              <w:right w:val="nil"/>
            </w:tcBorders>
          </w:tcPr>
          <w:p w:rsidR="00922CD5" w:rsidRPr="00B079E0" w:rsidRDefault="00922CD5" w:rsidP="00135F6E">
            <w:pPr>
              <w:ind w:left="37" w:hanging="31"/>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People per sq. km of land area</w:t>
            </w:r>
          </w:p>
        </w:tc>
        <w:tc>
          <w:tcPr>
            <w:tcW w:w="2070" w:type="dxa"/>
            <w:gridSpan w:val="2"/>
          </w:tcPr>
          <w:p w:rsidR="00922CD5" w:rsidRPr="00B079E0" w:rsidRDefault="00922CD5" w:rsidP="00135F6E">
            <w:pPr>
              <w:rPr>
                <w:sz w:val="22"/>
                <w:szCs w:val="22"/>
              </w:rPr>
            </w:pPr>
            <w:r w:rsidRPr="00B079E0">
              <w:rPr>
                <w:rFonts w:ascii="Times New Roman" w:eastAsia="Times New Roman" w:hAnsi="Times New Roman" w:cs="Times New Roman"/>
                <w:color w:val="000000"/>
                <w:sz w:val="22"/>
                <w:szCs w:val="22"/>
              </w:rPr>
              <w:t>World Bank</w:t>
            </w:r>
          </w:p>
        </w:tc>
      </w:tr>
      <w:tr w:rsidR="00922CD5" w:rsidRPr="00B079E0" w:rsidTr="00135F6E">
        <w:trPr>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GDP per capita</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2,371</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12.67</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14.00</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w:t>
            </w:r>
            <w:r w:rsidRPr="00B079E0">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283</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138.13</w:t>
            </w:r>
          </w:p>
        </w:tc>
        <w:tc>
          <w:tcPr>
            <w:tcW w:w="4050" w:type="dxa"/>
            <w:gridSpan w:val="2"/>
            <w:tcBorders>
              <w:top w:val="nil"/>
              <w:left w:val="nil"/>
              <w:bottom w:val="nil"/>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Real GDP</w:t>
            </w:r>
            <w:r>
              <w:rPr>
                <w:rFonts w:ascii="Times New Roman" w:eastAsia="Times New Roman" w:hAnsi="Times New Roman" w:cs="Times New Roman"/>
                <w:color w:val="000000"/>
                <w:sz w:val="22"/>
                <w:szCs w:val="22"/>
              </w:rPr>
              <w:t xml:space="preserve"> in thousands</w:t>
            </w:r>
          </w:p>
        </w:tc>
        <w:tc>
          <w:tcPr>
            <w:tcW w:w="2070" w:type="dxa"/>
            <w:gridSpan w:val="2"/>
          </w:tcPr>
          <w:p w:rsidR="00922CD5" w:rsidRPr="00B079E0" w:rsidRDefault="00922CD5" w:rsidP="00135F6E">
            <w:pPr>
              <w:rPr>
                <w:sz w:val="22"/>
                <w:szCs w:val="22"/>
              </w:rPr>
            </w:pPr>
            <w:r w:rsidRPr="00B079E0">
              <w:rPr>
                <w:rFonts w:ascii="Times New Roman" w:eastAsia="Times New Roman" w:hAnsi="Times New Roman" w:cs="Times New Roman"/>
                <w:color w:val="000000"/>
                <w:sz w:val="22"/>
                <w:szCs w:val="22"/>
              </w:rPr>
              <w:t>Penn World Tables</w:t>
            </w:r>
            <w:r>
              <w:rPr>
                <w:rFonts w:ascii="Times New Roman" w:eastAsia="Times New Roman" w:hAnsi="Times New Roman" w:cs="Times New Roman"/>
                <w:color w:val="000000"/>
                <w:sz w:val="22"/>
                <w:szCs w:val="22"/>
              </w:rPr>
              <w:t xml:space="preserve"> </w:t>
            </w:r>
          </w:p>
        </w:tc>
      </w:tr>
      <w:tr w:rsidR="00922CD5" w:rsidRPr="00B079E0" w:rsidTr="00135F6E">
        <w:trPr>
          <w:trHeight w:val="280"/>
        </w:trPr>
        <w:tc>
          <w:tcPr>
            <w:tcW w:w="2445" w:type="dxa"/>
            <w:tcBorders>
              <w:top w:val="nil"/>
              <w:left w:val="nil"/>
              <w:bottom w:val="nil"/>
              <w:right w:val="nil"/>
            </w:tcBorders>
            <w:shd w:val="clear" w:color="auto" w:fill="auto"/>
            <w:noWrap/>
            <w:vAlign w:val="bottom"/>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Fractionalization</w:t>
            </w:r>
          </w:p>
        </w:tc>
        <w:tc>
          <w:tcPr>
            <w:tcW w:w="810" w:type="dxa"/>
            <w:tcBorders>
              <w:top w:val="nil"/>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 xml:space="preserve">2,266 </w:t>
            </w:r>
          </w:p>
        </w:tc>
        <w:tc>
          <w:tcPr>
            <w:tcW w:w="1080" w:type="dxa"/>
            <w:tcBorders>
              <w:top w:val="nil"/>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0.422</w:t>
            </w:r>
          </w:p>
        </w:tc>
        <w:tc>
          <w:tcPr>
            <w:tcW w:w="1080" w:type="dxa"/>
            <w:tcBorders>
              <w:top w:val="nil"/>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0.239</w:t>
            </w:r>
          </w:p>
        </w:tc>
        <w:tc>
          <w:tcPr>
            <w:tcW w:w="944" w:type="dxa"/>
            <w:tcBorders>
              <w:top w:val="nil"/>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0.930</w:t>
            </w:r>
          </w:p>
        </w:tc>
        <w:tc>
          <w:tcPr>
            <w:tcW w:w="4050" w:type="dxa"/>
            <w:gridSpan w:val="2"/>
            <w:tcBorders>
              <w:top w:val="nil"/>
              <w:left w:val="nil"/>
              <w:bottom w:val="nil"/>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Ethnic fractionalization</w:t>
            </w:r>
          </w:p>
        </w:tc>
        <w:tc>
          <w:tcPr>
            <w:tcW w:w="2070" w:type="dxa"/>
            <w:gridSpan w:val="2"/>
          </w:tcPr>
          <w:p w:rsidR="00922CD5" w:rsidRPr="00B079E0" w:rsidRDefault="00922CD5" w:rsidP="00135F6E">
            <w:pPr>
              <w:rPr>
                <w:rFonts w:ascii="Times New Roman" w:eastAsia="Times New Roman" w:hAnsi="Times New Roman" w:cs="Times New Roman"/>
                <w:color w:val="000000"/>
                <w:sz w:val="22"/>
                <w:szCs w:val="22"/>
              </w:rPr>
            </w:pPr>
            <w:proofErr w:type="spellStart"/>
            <w:r w:rsidRPr="00B079E0">
              <w:rPr>
                <w:rFonts w:ascii="Times New Roman" w:eastAsia="Times New Roman" w:hAnsi="Times New Roman" w:cs="Times New Roman"/>
                <w:color w:val="000000"/>
                <w:sz w:val="22"/>
                <w:szCs w:val="22"/>
              </w:rPr>
              <w:t>Alesina</w:t>
            </w:r>
            <w:proofErr w:type="spellEnd"/>
            <w:r w:rsidRPr="00B079E0">
              <w:rPr>
                <w:rFonts w:ascii="Times New Roman" w:eastAsia="Times New Roman" w:hAnsi="Times New Roman" w:cs="Times New Roman"/>
                <w:color w:val="000000"/>
                <w:sz w:val="22"/>
                <w:szCs w:val="22"/>
              </w:rPr>
              <w:t xml:space="preserve"> et al. </w:t>
            </w:r>
          </w:p>
        </w:tc>
      </w:tr>
      <w:tr w:rsidR="00922CD5" w:rsidRPr="00B079E0" w:rsidTr="00135F6E">
        <w:trPr>
          <w:trHeight w:val="144"/>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Trade openness</w:t>
            </w:r>
          </w:p>
          <w:p w:rsidR="00922CD5" w:rsidRPr="00B079E0" w:rsidRDefault="00922CD5" w:rsidP="00135F6E">
            <w:pPr>
              <w:rPr>
                <w:rFonts w:ascii="Times New Roman" w:eastAsia="Times New Roman" w:hAnsi="Times New Roman" w:cs="Times New Roman"/>
                <w:color w:val="000000"/>
                <w:sz w:val="22"/>
                <w:szCs w:val="22"/>
              </w:rPr>
            </w:pP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2,299</w:t>
            </w:r>
          </w:p>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77.99</w:t>
            </w:r>
          </w:p>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52.50</w:t>
            </w:r>
          </w:p>
          <w:p w:rsidR="00922CD5" w:rsidRPr="00B079E0" w:rsidRDefault="00922CD5" w:rsidP="00135F6E">
            <w:pPr>
              <w:jc w:val="right"/>
              <w:rPr>
                <w:rFonts w:ascii="Times New Roman" w:eastAsia="Times New Roman" w:hAnsi="Times New Roman" w:cs="Times New Roman"/>
                <w:color w:val="000000"/>
                <w:sz w:val="22"/>
                <w:szCs w:val="22"/>
              </w:rPr>
            </w:pP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0.31</w:t>
            </w:r>
          </w:p>
          <w:p w:rsidR="00922CD5" w:rsidRPr="00B079E0" w:rsidRDefault="00922CD5" w:rsidP="00135F6E">
            <w:pPr>
              <w:jc w:val="right"/>
              <w:rPr>
                <w:rFonts w:ascii="Times New Roman" w:eastAsia="Times New Roman" w:hAnsi="Times New Roman" w:cs="Times New Roman"/>
                <w:color w:val="000000"/>
                <w:sz w:val="22"/>
                <w:szCs w:val="22"/>
              </w:rPr>
            </w:pP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531.74</w:t>
            </w:r>
          </w:p>
          <w:p w:rsidR="00922CD5" w:rsidRPr="00B079E0" w:rsidRDefault="00922CD5" w:rsidP="00135F6E">
            <w:pPr>
              <w:rPr>
                <w:rFonts w:ascii="Times New Roman" w:eastAsia="Times New Roman" w:hAnsi="Times New Roman" w:cs="Times New Roman"/>
                <w:color w:val="000000"/>
                <w:sz w:val="22"/>
                <w:szCs w:val="22"/>
              </w:rPr>
            </w:pPr>
          </w:p>
        </w:tc>
        <w:tc>
          <w:tcPr>
            <w:tcW w:w="4050" w:type="dxa"/>
            <w:gridSpan w:val="2"/>
            <w:tcBorders>
              <w:top w:val="nil"/>
              <w:left w:val="nil"/>
              <w:bottom w:val="nil"/>
              <w:right w:val="nil"/>
            </w:tcBorders>
          </w:tcPr>
          <w:p w:rsidR="00922CD5" w:rsidRPr="00B079E0" w:rsidRDefault="00922CD5" w:rsidP="00135F6E">
            <w:pPr>
              <w:ind w:firstLine="6"/>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 xml:space="preserve">Sum of exports and imports as </w:t>
            </w:r>
            <w:r>
              <w:rPr>
                <w:rFonts w:ascii="Times New Roman" w:eastAsia="Times New Roman" w:hAnsi="Times New Roman" w:cs="Times New Roman"/>
                <w:color w:val="000000"/>
                <w:sz w:val="22"/>
                <w:szCs w:val="22"/>
              </w:rPr>
              <w:t>% of GDP</w:t>
            </w:r>
          </w:p>
        </w:tc>
        <w:tc>
          <w:tcPr>
            <w:tcW w:w="2070" w:type="dxa"/>
            <w:gridSpan w:val="2"/>
          </w:tcPr>
          <w:p w:rsidR="00922CD5" w:rsidRPr="00B079E0" w:rsidRDefault="00922CD5" w:rsidP="00135F6E">
            <w:pPr>
              <w:rPr>
                <w:sz w:val="22"/>
                <w:szCs w:val="22"/>
              </w:rPr>
            </w:pPr>
            <w:r w:rsidRPr="00B079E0">
              <w:rPr>
                <w:rFonts w:ascii="Times New Roman" w:eastAsia="Times New Roman" w:hAnsi="Times New Roman" w:cs="Times New Roman"/>
                <w:color w:val="000000"/>
                <w:sz w:val="22"/>
                <w:szCs w:val="22"/>
              </w:rPr>
              <w:t>World Bank</w:t>
            </w:r>
          </w:p>
        </w:tc>
      </w:tr>
      <w:tr w:rsidR="00922CD5" w:rsidRPr="00B079E0" w:rsidTr="00135F6E">
        <w:trPr>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Civil war</w:t>
            </w:r>
          </w:p>
          <w:p w:rsidR="00922CD5" w:rsidRPr="00B079E0" w:rsidRDefault="00922CD5" w:rsidP="00135F6E">
            <w:pPr>
              <w:rPr>
                <w:rFonts w:ascii="Times New Roman" w:eastAsia="Times New Roman" w:hAnsi="Times New Roman" w:cs="Times New Roman"/>
                <w:color w:val="000000"/>
                <w:sz w:val="22"/>
                <w:szCs w:val="22"/>
              </w:rPr>
            </w:pP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2,430</w:t>
            </w:r>
          </w:p>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0.250</w:t>
            </w:r>
          </w:p>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0.433</w:t>
            </w:r>
          </w:p>
          <w:p w:rsidR="00922CD5" w:rsidRPr="00B079E0" w:rsidRDefault="00922CD5" w:rsidP="00135F6E">
            <w:pPr>
              <w:jc w:val="right"/>
              <w:rPr>
                <w:rFonts w:ascii="Times New Roman" w:eastAsia="Times New Roman" w:hAnsi="Times New Roman" w:cs="Times New Roman"/>
                <w:color w:val="000000"/>
                <w:sz w:val="22"/>
                <w:szCs w:val="22"/>
              </w:rPr>
            </w:pP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p w:rsidR="00922CD5" w:rsidRPr="00B079E0" w:rsidRDefault="00922CD5" w:rsidP="00135F6E">
            <w:pPr>
              <w:jc w:val="right"/>
              <w:rPr>
                <w:rFonts w:ascii="Times New Roman" w:eastAsia="Times New Roman" w:hAnsi="Times New Roman" w:cs="Times New Roman"/>
                <w:color w:val="000000"/>
                <w:sz w:val="22"/>
                <w:szCs w:val="22"/>
              </w:rPr>
            </w:pP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w:t>
            </w:r>
          </w:p>
          <w:p w:rsidR="00922CD5" w:rsidRPr="00B079E0" w:rsidRDefault="00922CD5" w:rsidP="00135F6E">
            <w:pPr>
              <w:jc w:val="right"/>
              <w:rPr>
                <w:rFonts w:ascii="Times New Roman" w:eastAsia="Times New Roman" w:hAnsi="Times New Roman" w:cs="Times New Roman"/>
                <w:color w:val="000000"/>
                <w:sz w:val="22"/>
                <w:szCs w:val="22"/>
              </w:rPr>
            </w:pPr>
          </w:p>
        </w:tc>
        <w:tc>
          <w:tcPr>
            <w:tcW w:w="4050" w:type="dxa"/>
            <w:gridSpan w:val="2"/>
            <w:tcBorders>
              <w:top w:val="nil"/>
              <w:left w:val="nil"/>
              <w:bottom w:val="nil"/>
              <w:right w:val="nil"/>
            </w:tcBorders>
          </w:tcPr>
          <w:p w:rsidR="00922CD5" w:rsidRPr="00B079E0" w:rsidRDefault="00922CD5" w:rsidP="00135F6E">
            <w:pPr>
              <w:ind w:hanging="18"/>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Binary variable; 1=pervious civil war, 0=otherwise</w:t>
            </w:r>
          </w:p>
        </w:tc>
        <w:tc>
          <w:tcPr>
            <w:tcW w:w="2070" w:type="dxa"/>
            <w:gridSpan w:val="2"/>
          </w:tcPr>
          <w:p w:rsidR="00922CD5" w:rsidRPr="00B079E0" w:rsidRDefault="00922CD5" w:rsidP="00135F6E">
            <w:pPr>
              <w:rPr>
                <w:sz w:val="22"/>
                <w:szCs w:val="22"/>
              </w:rPr>
            </w:pPr>
            <w:r w:rsidRPr="00B079E0">
              <w:rPr>
                <w:rFonts w:ascii="Times New Roman" w:eastAsia="Times New Roman" w:hAnsi="Times New Roman" w:cs="Times New Roman"/>
                <w:color w:val="000000"/>
                <w:sz w:val="22"/>
                <w:szCs w:val="22"/>
              </w:rPr>
              <w:t>Correlates of War</w:t>
            </w: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i/>
                <w:iCs/>
                <w:color w:val="000000"/>
                <w:sz w:val="22"/>
                <w:szCs w:val="22"/>
              </w:rPr>
              <w:t xml:space="preserve">High income </w:t>
            </w:r>
            <w:r w:rsidRPr="00B079E0">
              <w:rPr>
                <w:rFonts w:ascii="Times New Roman" w:eastAsia="Times New Roman" w:hAnsi="Times New Roman" w:cs="Times New Roman"/>
                <w:i/>
                <w:iCs/>
                <w:sz w:val="22"/>
                <w:szCs w:val="22"/>
              </w:rPr>
              <w:t>countries</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Total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889</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0.187</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0.391</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3.20</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i/>
                <w:iCs/>
                <w:color w:val="000000"/>
                <w:sz w:val="22"/>
                <w:szCs w:val="22"/>
              </w:rPr>
            </w:pPr>
            <w:r w:rsidRPr="00B079E0">
              <w:rPr>
                <w:rFonts w:ascii="Times New Roman" w:eastAsia="Times New Roman" w:hAnsi="Times New Roman" w:cs="Times New Roman"/>
                <w:color w:val="000000"/>
                <w:sz w:val="22"/>
                <w:szCs w:val="22"/>
              </w:rPr>
              <w:t>High skill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889</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0.582</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1.179</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10.79</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Low skill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889</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0.513</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1.330</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12.70</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i/>
                <w:iCs/>
                <w:color w:val="000000"/>
                <w:sz w:val="22"/>
                <w:szCs w:val="22"/>
              </w:rPr>
              <w:t xml:space="preserve">Middle income </w:t>
            </w:r>
            <w:r w:rsidRPr="00B079E0">
              <w:rPr>
                <w:rFonts w:ascii="Times New Roman" w:eastAsia="Times New Roman" w:hAnsi="Times New Roman" w:cs="Times New Roman"/>
                <w:i/>
                <w:iCs/>
                <w:sz w:val="22"/>
                <w:szCs w:val="22"/>
              </w:rPr>
              <w:t>countries</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Total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1,281</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0.6</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1.027</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7.00</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i/>
                <w:iCs/>
                <w:color w:val="000000"/>
                <w:sz w:val="22"/>
                <w:szCs w:val="22"/>
              </w:rPr>
            </w:pPr>
            <w:r w:rsidRPr="00B079E0">
              <w:rPr>
                <w:rFonts w:ascii="Times New Roman" w:eastAsia="Times New Roman" w:hAnsi="Times New Roman" w:cs="Times New Roman"/>
                <w:color w:val="000000"/>
                <w:sz w:val="22"/>
                <w:szCs w:val="22"/>
              </w:rPr>
              <w:t>High skill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1,281</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1.406</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2.284</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19.920</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Low skill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1,281</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0.602</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1.203</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9.632</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i/>
                <w:iCs/>
                <w:color w:val="000000"/>
                <w:sz w:val="22"/>
                <w:szCs w:val="22"/>
              </w:rPr>
              <w:t xml:space="preserve">Low income </w:t>
            </w:r>
            <w:r w:rsidRPr="00B079E0">
              <w:rPr>
                <w:rFonts w:ascii="Times New Roman" w:eastAsia="Times New Roman" w:hAnsi="Times New Roman" w:cs="Times New Roman"/>
                <w:i/>
                <w:iCs/>
                <w:sz w:val="22"/>
                <w:szCs w:val="22"/>
              </w:rPr>
              <w:t>countries</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Total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260</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0.286</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0.517</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3.480</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i/>
                <w:iCs/>
                <w:color w:val="000000"/>
                <w:sz w:val="22"/>
                <w:szCs w:val="22"/>
              </w:rPr>
            </w:pPr>
            <w:r w:rsidRPr="00B079E0">
              <w:rPr>
                <w:rFonts w:ascii="Times New Roman" w:eastAsia="Times New Roman" w:hAnsi="Times New Roman" w:cs="Times New Roman"/>
                <w:color w:val="000000"/>
                <w:sz w:val="22"/>
                <w:szCs w:val="22"/>
              </w:rPr>
              <w:t>High skill emigration</w:t>
            </w:r>
          </w:p>
        </w:tc>
        <w:tc>
          <w:tcPr>
            <w:tcW w:w="81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260</w:t>
            </w:r>
          </w:p>
        </w:tc>
        <w:tc>
          <w:tcPr>
            <w:tcW w:w="108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2.662</w:t>
            </w:r>
          </w:p>
        </w:tc>
        <w:tc>
          <w:tcPr>
            <w:tcW w:w="108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4.137</w:t>
            </w:r>
          </w:p>
        </w:tc>
        <w:tc>
          <w:tcPr>
            <w:tcW w:w="944"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23.660</w:t>
            </w:r>
          </w:p>
        </w:tc>
        <w:tc>
          <w:tcPr>
            <w:tcW w:w="3600" w:type="dxa"/>
            <w:tcBorders>
              <w:top w:val="nil"/>
              <w:left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Low skill emigration</w:t>
            </w:r>
          </w:p>
        </w:tc>
        <w:tc>
          <w:tcPr>
            <w:tcW w:w="81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260</w:t>
            </w:r>
          </w:p>
        </w:tc>
        <w:tc>
          <w:tcPr>
            <w:tcW w:w="108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0.137</w:t>
            </w:r>
          </w:p>
        </w:tc>
        <w:tc>
          <w:tcPr>
            <w:tcW w:w="108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0.321</w:t>
            </w:r>
          </w:p>
        </w:tc>
        <w:tc>
          <w:tcPr>
            <w:tcW w:w="944"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2.610</w:t>
            </w:r>
          </w:p>
        </w:tc>
        <w:tc>
          <w:tcPr>
            <w:tcW w:w="3600" w:type="dxa"/>
            <w:tcBorders>
              <w:top w:val="nil"/>
              <w:left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left w:val="nil"/>
              <w:bottom w:val="nil"/>
              <w:right w:val="nil"/>
            </w:tcBorders>
            <w:shd w:val="clear" w:color="auto" w:fill="auto"/>
            <w:noWrap/>
            <w:vAlign w:val="bottom"/>
          </w:tcPr>
          <w:p w:rsidR="00922CD5" w:rsidRPr="00B079E0" w:rsidRDefault="00922CD5" w:rsidP="00135F6E">
            <w:pPr>
              <w:rPr>
                <w:rFonts w:ascii="Times New Roman" w:eastAsia="Times New Roman" w:hAnsi="Times New Roman" w:cs="Times New Roman"/>
                <w:i/>
                <w:iCs/>
                <w:color w:val="000000"/>
                <w:sz w:val="22"/>
                <w:szCs w:val="22"/>
              </w:rPr>
            </w:pPr>
          </w:p>
        </w:tc>
        <w:tc>
          <w:tcPr>
            <w:tcW w:w="810" w:type="dxa"/>
            <w:tcBorders>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p>
        </w:tc>
        <w:tc>
          <w:tcPr>
            <w:tcW w:w="944" w:type="dxa"/>
            <w:tcBorders>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p>
        </w:tc>
        <w:tc>
          <w:tcPr>
            <w:tcW w:w="1036" w:type="dxa"/>
            <w:tcBorders>
              <w:left w:val="nil"/>
              <w:bottom w:val="nil"/>
              <w:right w:val="nil"/>
            </w:tcBorders>
            <w:shd w:val="clear" w:color="auto" w:fill="auto"/>
            <w:noWrap/>
            <w:vAlign w:val="bottom"/>
          </w:tcPr>
          <w:p w:rsidR="00922CD5" w:rsidRPr="00B079E0" w:rsidRDefault="00922CD5" w:rsidP="00135F6E">
            <w:pPr>
              <w:jc w:val="right"/>
              <w:rPr>
                <w:rFonts w:ascii="Times New Roman" w:eastAsia="Times New Roman" w:hAnsi="Times New Roman" w:cs="Times New Roman"/>
                <w:color w:val="000000"/>
                <w:sz w:val="22"/>
                <w:szCs w:val="22"/>
              </w:rPr>
            </w:pPr>
          </w:p>
        </w:tc>
        <w:tc>
          <w:tcPr>
            <w:tcW w:w="3600" w:type="dxa"/>
            <w:tcBorders>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i/>
                <w:iCs/>
                <w:color w:val="000000"/>
                <w:sz w:val="22"/>
                <w:szCs w:val="22"/>
              </w:rPr>
              <w:t>Small states</w:t>
            </w:r>
          </w:p>
        </w:tc>
        <w:tc>
          <w:tcPr>
            <w:tcW w:w="810" w:type="dxa"/>
            <w:tcBorders>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944" w:type="dxa"/>
            <w:tcBorders>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36" w:type="dxa"/>
            <w:tcBorders>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3600" w:type="dxa"/>
            <w:tcBorders>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Total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67</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1.250</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1.549</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6.65</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i/>
                <w:iCs/>
                <w:color w:val="000000"/>
                <w:sz w:val="22"/>
                <w:szCs w:val="22"/>
              </w:rPr>
            </w:pPr>
            <w:r w:rsidRPr="00B079E0">
              <w:rPr>
                <w:rFonts w:ascii="Times New Roman" w:eastAsia="Times New Roman" w:hAnsi="Times New Roman" w:cs="Times New Roman"/>
                <w:color w:val="000000"/>
                <w:sz w:val="22"/>
                <w:szCs w:val="22"/>
              </w:rPr>
              <w:t>High skill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67</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3.089</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4.602</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19.57</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Low skill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67</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0.977</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1.442</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6.45</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i/>
                <w:iCs/>
                <w:color w:val="000000"/>
                <w:sz w:val="22"/>
                <w:szCs w:val="22"/>
              </w:rPr>
              <w:t>Larger states</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Total emigration</w:t>
            </w:r>
          </w:p>
        </w:tc>
        <w:tc>
          <w:tcPr>
            <w:tcW w:w="81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2,363</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0.392</w:t>
            </w:r>
          </w:p>
        </w:tc>
        <w:tc>
          <w:tcPr>
            <w:tcW w:w="1080"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0.781</w:t>
            </w:r>
          </w:p>
        </w:tc>
        <w:tc>
          <w:tcPr>
            <w:tcW w:w="944"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7</w:t>
            </w:r>
          </w:p>
        </w:tc>
        <w:tc>
          <w:tcPr>
            <w:tcW w:w="3600" w:type="dxa"/>
            <w:tcBorders>
              <w:top w:val="nil"/>
              <w:left w:val="nil"/>
              <w:bottom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i/>
                <w:iCs/>
                <w:color w:val="000000"/>
                <w:sz w:val="22"/>
                <w:szCs w:val="22"/>
              </w:rPr>
            </w:pPr>
            <w:r w:rsidRPr="00B079E0">
              <w:rPr>
                <w:rFonts w:ascii="Times New Roman" w:eastAsia="Times New Roman" w:hAnsi="Times New Roman" w:cs="Times New Roman"/>
                <w:color w:val="000000"/>
                <w:sz w:val="22"/>
                <w:szCs w:val="22"/>
              </w:rPr>
              <w:t>High skill emigration</w:t>
            </w:r>
          </w:p>
        </w:tc>
        <w:tc>
          <w:tcPr>
            <w:tcW w:w="81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2,363</w:t>
            </w:r>
          </w:p>
        </w:tc>
        <w:tc>
          <w:tcPr>
            <w:tcW w:w="108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1.187</w:t>
            </w:r>
          </w:p>
        </w:tc>
        <w:tc>
          <w:tcPr>
            <w:tcW w:w="1080"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2.222</w:t>
            </w:r>
          </w:p>
        </w:tc>
        <w:tc>
          <w:tcPr>
            <w:tcW w:w="944"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23.66</w:t>
            </w:r>
          </w:p>
        </w:tc>
        <w:tc>
          <w:tcPr>
            <w:tcW w:w="3600" w:type="dxa"/>
            <w:tcBorders>
              <w:top w:val="nil"/>
              <w:left w:val="nil"/>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Pr>
          <w:p w:rsidR="00922CD5" w:rsidRPr="00B079E0" w:rsidRDefault="00922CD5" w:rsidP="00135F6E">
            <w:pPr>
              <w:rPr>
                <w:sz w:val="22"/>
                <w:szCs w:val="22"/>
              </w:rPr>
            </w:pPr>
          </w:p>
        </w:tc>
      </w:tr>
      <w:tr w:rsidR="00922CD5" w:rsidRPr="00B079E0" w:rsidTr="00135F6E">
        <w:trPr>
          <w:gridAfter w:val="1"/>
          <w:wAfter w:w="360" w:type="dxa"/>
          <w:trHeight w:val="280"/>
        </w:trPr>
        <w:tc>
          <w:tcPr>
            <w:tcW w:w="2445" w:type="dxa"/>
            <w:tcBorders>
              <w:top w:val="nil"/>
              <w:left w:val="nil"/>
              <w:bottom w:val="single" w:sz="4" w:space="0" w:color="auto"/>
              <w:right w:val="nil"/>
            </w:tcBorders>
            <w:shd w:val="clear" w:color="auto" w:fill="auto"/>
            <w:noWrap/>
            <w:vAlign w:val="bottom"/>
            <w:hideMark/>
          </w:tcPr>
          <w:p w:rsidR="00922CD5" w:rsidRPr="00B079E0" w:rsidRDefault="00922CD5" w:rsidP="00135F6E">
            <w:pPr>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Low skill emigration</w:t>
            </w:r>
          </w:p>
        </w:tc>
        <w:tc>
          <w:tcPr>
            <w:tcW w:w="810" w:type="dxa"/>
            <w:tcBorders>
              <w:top w:val="nil"/>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2,363</w:t>
            </w:r>
          </w:p>
        </w:tc>
        <w:tc>
          <w:tcPr>
            <w:tcW w:w="1080" w:type="dxa"/>
            <w:tcBorders>
              <w:top w:val="nil"/>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0.507</w:t>
            </w:r>
          </w:p>
        </w:tc>
        <w:tc>
          <w:tcPr>
            <w:tcW w:w="1080" w:type="dxa"/>
            <w:tcBorders>
              <w:top w:val="nil"/>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1.190</w:t>
            </w:r>
          </w:p>
        </w:tc>
        <w:tc>
          <w:tcPr>
            <w:tcW w:w="944" w:type="dxa"/>
            <w:tcBorders>
              <w:top w:val="nil"/>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0</w:t>
            </w:r>
          </w:p>
        </w:tc>
        <w:tc>
          <w:tcPr>
            <w:tcW w:w="1036" w:type="dxa"/>
            <w:tcBorders>
              <w:top w:val="nil"/>
              <w:left w:val="nil"/>
              <w:bottom w:val="single" w:sz="4" w:space="0" w:color="auto"/>
              <w:right w:val="nil"/>
            </w:tcBorders>
            <w:shd w:val="clear" w:color="auto" w:fill="auto"/>
            <w:noWrap/>
            <w:vAlign w:val="bottom"/>
            <w:hideMark/>
          </w:tcPr>
          <w:p w:rsidR="00922CD5" w:rsidRPr="00B079E0" w:rsidRDefault="00922CD5" w:rsidP="00135F6E">
            <w:pPr>
              <w:jc w:val="right"/>
              <w:rPr>
                <w:rFonts w:ascii="Times New Roman" w:eastAsia="Times New Roman" w:hAnsi="Times New Roman" w:cs="Times New Roman"/>
                <w:color w:val="000000"/>
                <w:sz w:val="22"/>
                <w:szCs w:val="22"/>
              </w:rPr>
            </w:pPr>
            <w:r w:rsidRPr="00B079E0">
              <w:rPr>
                <w:rFonts w:ascii="Times New Roman" w:eastAsia="Times New Roman" w:hAnsi="Times New Roman" w:cs="Times New Roman"/>
                <w:color w:val="000000"/>
                <w:sz w:val="22"/>
                <w:szCs w:val="22"/>
              </w:rPr>
              <w:t>12.70</w:t>
            </w:r>
          </w:p>
        </w:tc>
        <w:tc>
          <w:tcPr>
            <w:tcW w:w="3600" w:type="dxa"/>
            <w:tcBorders>
              <w:top w:val="nil"/>
              <w:left w:val="nil"/>
              <w:bottom w:val="single" w:sz="4" w:space="0" w:color="auto"/>
              <w:right w:val="nil"/>
            </w:tcBorders>
          </w:tcPr>
          <w:p w:rsidR="00922CD5" w:rsidRPr="00B079E0" w:rsidRDefault="00922CD5" w:rsidP="00135F6E">
            <w:pPr>
              <w:ind w:firstLine="6"/>
              <w:jc w:val="right"/>
              <w:rPr>
                <w:rFonts w:ascii="Times New Roman" w:eastAsia="Times New Roman" w:hAnsi="Times New Roman" w:cs="Times New Roman"/>
                <w:color w:val="000000"/>
                <w:sz w:val="22"/>
                <w:szCs w:val="22"/>
              </w:rPr>
            </w:pPr>
          </w:p>
        </w:tc>
        <w:tc>
          <w:tcPr>
            <w:tcW w:w="2160" w:type="dxa"/>
            <w:gridSpan w:val="2"/>
            <w:tcBorders>
              <w:bottom w:val="single" w:sz="4" w:space="0" w:color="auto"/>
            </w:tcBorders>
          </w:tcPr>
          <w:p w:rsidR="00922CD5" w:rsidRPr="00B079E0" w:rsidRDefault="00922CD5" w:rsidP="00135F6E">
            <w:pPr>
              <w:rPr>
                <w:sz w:val="22"/>
                <w:szCs w:val="22"/>
              </w:rPr>
            </w:pPr>
          </w:p>
        </w:tc>
      </w:tr>
    </w:tbl>
    <w:p w:rsidR="00922CD5" w:rsidRPr="006B4D3E" w:rsidRDefault="00922CD5" w:rsidP="00922CD5">
      <w:pPr>
        <w:pStyle w:val="ListParagraph"/>
        <w:numPr>
          <w:ilvl w:val="0"/>
          <w:numId w:val="1"/>
        </w:numPr>
        <w:rPr>
          <w:rFonts w:ascii="Times New Roman" w:hAnsi="Times New Roman" w:cs="Times New Roman"/>
        </w:rPr>
        <w:sectPr w:rsidR="00922CD5" w:rsidRPr="006B4D3E" w:rsidSect="001C634E">
          <w:pgSz w:w="15840" w:h="12240" w:orient="landscape"/>
          <w:pgMar w:top="1440" w:right="1440" w:bottom="1440" w:left="1440" w:header="720" w:footer="720" w:gutter="0"/>
          <w:cols w:space="720"/>
          <w:docGrid w:linePitch="360"/>
        </w:sectPr>
      </w:pPr>
    </w:p>
    <w:tbl>
      <w:tblPr>
        <w:tblW w:w="13424" w:type="dxa"/>
        <w:tblInd w:w="93" w:type="dxa"/>
        <w:tblLook w:val="04A0" w:firstRow="1" w:lastRow="0" w:firstColumn="1" w:lastColumn="0" w:noHBand="0" w:noVBand="1"/>
      </w:tblPr>
      <w:tblGrid>
        <w:gridCol w:w="3028"/>
        <w:gridCol w:w="1314"/>
        <w:gridCol w:w="1314"/>
        <w:gridCol w:w="1314"/>
        <w:gridCol w:w="1314"/>
        <w:gridCol w:w="1189"/>
        <w:gridCol w:w="1314"/>
        <w:gridCol w:w="1314"/>
        <w:gridCol w:w="1323"/>
      </w:tblGrid>
      <w:tr w:rsidR="00922CD5" w:rsidRPr="00804831" w:rsidTr="00135F6E">
        <w:trPr>
          <w:trHeight w:val="269"/>
        </w:trPr>
        <w:tc>
          <w:tcPr>
            <w:tcW w:w="13424" w:type="dxa"/>
            <w:gridSpan w:val="9"/>
            <w:tcBorders>
              <w:top w:val="nil"/>
              <w:left w:val="nil"/>
              <w:bottom w:val="single" w:sz="4" w:space="0" w:color="auto"/>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b/>
                <w:bCs/>
                <w:sz w:val="22"/>
                <w:szCs w:val="22"/>
              </w:rPr>
            </w:pPr>
            <w:r w:rsidRPr="00BD1DC8">
              <w:rPr>
                <w:rFonts w:ascii="Times New Roman" w:eastAsia="Times New Roman" w:hAnsi="Times New Roman" w:cs="Times New Roman"/>
                <w:b/>
                <w:bCs/>
                <w:szCs w:val="22"/>
              </w:rPr>
              <w:t xml:space="preserve">Table 2. Event History </w:t>
            </w:r>
            <w:proofErr w:type="spellStart"/>
            <w:r w:rsidRPr="00BD1DC8">
              <w:rPr>
                <w:rFonts w:ascii="Times New Roman" w:eastAsia="Times New Roman" w:hAnsi="Times New Roman" w:cs="Times New Roman"/>
                <w:b/>
                <w:bCs/>
                <w:szCs w:val="22"/>
              </w:rPr>
              <w:t>Estimations</w:t>
            </w:r>
            <w:r w:rsidRPr="00BD1DC8">
              <w:rPr>
                <w:rFonts w:ascii="Times New Roman" w:eastAsia="Times New Roman" w:hAnsi="Times New Roman" w:cs="Times New Roman"/>
                <w:b/>
                <w:bCs/>
                <w:szCs w:val="22"/>
                <w:vertAlign w:val="superscript"/>
              </w:rPr>
              <w:t>a</w:t>
            </w:r>
            <w:proofErr w:type="spellEnd"/>
          </w:p>
        </w:tc>
      </w:tr>
      <w:tr w:rsidR="00922CD5" w:rsidRPr="00804831" w:rsidTr="00135F6E">
        <w:trPr>
          <w:trHeight w:val="269"/>
        </w:trPr>
        <w:tc>
          <w:tcPr>
            <w:tcW w:w="3028" w:type="dxa"/>
            <w:tcBorders>
              <w:top w:val="single" w:sz="4" w:space="0" w:color="auto"/>
              <w:left w:val="nil"/>
              <w:bottom w:val="single" w:sz="4" w:space="0" w:color="auto"/>
              <w:right w:val="nil"/>
            </w:tcBorders>
            <w:shd w:val="clear" w:color="auto" w:fill="auto"/>
            <w:noWrap/>
            <w:vAlign w:val="bottom"/>
            <w:hideMark/>
          </w:tcPr>
          <w:p w:rsidR="00922CD5" w:rsidRPr="00B079E0" w:rsidRDefault="00922CD5" w:rsidP="00135F6E">
            <w:pPr>
              <w:spacing w:line="276" w:lineRule="auto"/>
              <w:rPr>
                <w:rFonts w:ascii="Times New Roman" w:eastAsia="Times New Roman" w:hAnsi="Times New Roman" w:cs="Times New Roman"/>
                <w:bCs/>
                <w:sz w:val="22"/>
                <w:szCs w:val="22"/>
              </w:rPr>
            </w:pPr>
            <w:r w:rsidRPr="00B079E0">
              <w:rPr>
                <w:rFonts w:ascii="Times New Roman" w:eastAsia="Times New Roman" w:hAnsi="Times New Roman" w:cs="Times New Roman"/>
                <w:bCs/>
                <w:sz w:val="22"/>
                <w:szCs w:val="22"/>
              </w:rPr>
              <w:t>Variables/Models</w:t>
            </w:r>
          </w:p>
        </w:tc>
        <w:tc>
          <w:tcPr>
            <w:tcW w:w="1314" w:type="dxa"/>
            <w:tcBorders>
              <w:top w:val="single" w:sz="4" w:space="0" w:color="auto"/>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center"/>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w:t>
            </w:r>
          </w:p>
        </w:tc>
        <w:tc>
          <w:tcPr>
            <w:tcW w:w="1314" w:type="dxa"/>
            <w:tcBorders>
              <w:top w:val="single" w:sz="4" w:space="0" w:color="auto"/>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center"/>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w:t>
            </w:r>
          </w:p>
        </w:tc>
        <w:tc>
          <w:tcPr>
            <w:tcW w:w="1314" w:type="dxa"/>
            <w:tcBorders>
              <w:top w:val="single" w:sz="4" w:space="0" w:color="auto"/>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center"/>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 xml:space="preserve">(3) </w:t>
            </w:r>
          </w:p>
        </w:tc>
        <w:tc>
          <w:tcPr>
            <w:tcW w:w="1314" w:type="dxa"/>
            <w:tcBorders>
              <w:top w:val="single" w:sz="4" w:space="0" w:color="auto"/>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center"/>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(4)</w:t>
            </w:r>
          </w:p>
        </w:tc>
        <w:tc>
          <w:tcPr>
            <w:tcW w:w="1189" w:type="dxa"/>
            <w:tcBorders>
              <w:top w:val="single" w:sz="4" w:space="0" w:color="auto"/>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center"/>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(5)</w:t>
            </w:r>
          </w:p>
        </w:tc>
        <w:tc>
          <w:tcPr>
            <w:tcW w:w="1314" w:type="dxa"/>
            <w:tcBorders>
              <w:top w:val="single" w:sz="4" w:space="0" w:color="auto"/>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center"/>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w:t>
            </w:r>
          </w:p>
        </w:tc>
        <w:tc>
          <w:tcPr>
            <w:tcW w:w="1314" w:type="dxa"/>
            <w:tcBorders>
              <w:top w:val="single" w:sz="4" w:space="0" w:color="auto"/>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center"/>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(7)</w:t>
            </w:r>
          </w:p>
        </w:tc>
        <w:tc>
          <w:tcPr>
            <w:tcW w:w="1323" w:type="dxa"/>
            <w:tcBorders>
              <w:top w:val="single" w:sz="4" w:space="0" w:color="auto"/>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center"/>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(8)</w:t>
            </w:r>
          </w:p>
        </w:tc>
      </w:tr>
      <w:tr w:rsidR="00922CD5" w:rsidRPr="00804831" w:rsidTr="00135F6E">
        <w:trPr>
          <w:trHeight w:val="269"/>
        </w:trPr>
        <w:tc>
          <w:tcPr>
            <w:tcW w:w="3028"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Regime type</w:t>
            </w:r>
          </w:p>
        </w:tc>
        <w:tc>
          <w:tcPr>
            <w:tcW w:w="1314"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0.9470**</w:t>
            </w:r>
          </w:p>
        </w:tc>
        <w:tc>
          <w:tcPr>
            <w:tcW w:w="1314"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0.9458**</w:t>
            </w:r>
          </w:p>
        </w:tc>
        <w:tc>
          <w:tcPr>
            <w:tcW w:w="1314"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0.9476**</w:t>
            </w:r>
          </w:p>
        </w:tc>
        <w:tc>
          <w:tcPr>
            <w:tcW w:w="1314"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0.9452**</w:t>
            </w:r>
          </w:p>
        </w:tc>
        <w:tc>
          <w:tcPr>
            <w:tcW w:w="1189"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0.9468**</w:t>
            </w:r>
          </w:p>
        </w:tc>
        <w:tc>
          <w:tcPr>
            <w:tcW w:w="1314"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0.931**</w:t>
            </w:r>
          </w:p>
        </w:tc>
        <w:tc>
          <w:tcPr>
            <w:tcW w:w="1314"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0.9305**</w:t>
            </w:r>
          </w:p>
        </w:tc>
        <w:tc>
          <w:tcPr>
            <w:tcW w:w="1323" w:type="dxa"/>
            <w:tcBorders>
              <w:top w:val="single" w:sz="4" w:space="0" w:color="auto"/>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0.9269***</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(0.020)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(0.020)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(0.021)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(0.021)</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(0.020)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(0.027)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(0.026)</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(0.026)</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Population growth</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0.9139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0.9230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0.9171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0.9236</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0.9017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0.9332</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0.9346</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0.9105</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(0.070)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(0.072)</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(0.071)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(0.072)</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(0.072)</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(0.078)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(0.077)</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(0.079)</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Density</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0.9995</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0.9995</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0.9995</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0.9995</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0.9996</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0.9996</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(0.001)</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(0.001)</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(0.001)</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roofErr w:type="spellStart"/>
            <w:proofErr w:type="gramStart"/>
            <w:r w:rsidRPr="00804831">
              <w:rPr>
                <w:rFonts w:ascii="Times New Roman" w:eastAsia="Times New Roman" w:hAnsi="Times New Roman" w:cs="Times New Roman"/>
                <w:sz w:val="22"/>
                <w:szCs w:val="22"/>
              </w:rPr>
              <w:t>lnGDP</w:t>
            </w:r>
            <w:proofErr w:type="spellEnd"/>
            <w:proofErr w:type="gramEnd"/>
            <w:r w:rsidRPr="00804831">
              <w:rPr>
                <w:rFonts w:ascii="Times New Roman" w:eastAsia="Times New Roman" w:hAnsi="Times New Roman" w:cs="Times New Roman"/>
                <w:sz w:val="22"/>
                <w:szCs w:val="22"/>
              </w:rPr>
              <w:t xml:space="preserve"> per capita</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0.6496***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0.6527***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0.6505***</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0.6444***</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0.637***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0.6368***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0.6328***</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0.625***</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(0.087)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(0.089)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(0.089)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(0.088)</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(0.087)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(0.101)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(0.101)</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(0.01)</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Trade</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1.0004</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1.0000</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1.0009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0.9999</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1.0009</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Pr>
                <w:rFonts w:ascii="Times New Roman" w:eastAsia="Times New Roman" w:hAnsi="Times New Roman" w:cs="Times New Roman"/>
                <w:sz w:val="22"/>
                <w:szCs w:val="22"/>
              </w:rPr>
              <w:t>(0.003)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(0.003)</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(0.003)</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(0.003)</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Fractionalization</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2.4724</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2.5694</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2.9548*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2.5234</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2.4831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2.3676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2.367</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2.2705</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(1.431)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(1.489)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(1.751)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(1.462)</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(1.444)</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(1.461)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(1.456)</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(1.398)</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Civil war</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2.3731*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2.3356*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2.1218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2.3504*</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2.4519*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2.3851*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2.394</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2.4938*</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(1.168)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(1.153)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(1.158)</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(1.210)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(1.177)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(1.18)</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(1.233)</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Total emigration</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1.1144</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1.0495</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(0.142)</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(0.162)</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Low skill emigration</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1.0947</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1.0779</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(0.127)</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(0.136)</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High skill emigration</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0.966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0.9566</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(0.047)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(0.050)</w:t>
            </w:r>
          </w:p>
        </w:tc>
      </w:tr>
      <w:tr w:rsidR="00922CD5" w:rsidRPr="00804831" w:rsidTr="00135F6E">
        <w:trPr>
          <w:trHeight w:val="308"/>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proofErr w:type="spellStart"/>
            <w:r w:rsidRPr="00804831">
              <w:rPr>
                <w:rFonts w:ascii="Times New Roman" w:eastAsia="Times New Roman" w:hAnsi="Times New Roman" w:cs="Times New Roman"/>
                <w:sz w:val="22"/>
                <w:szCs w:val="22"/>
              </w:rPr>
              <w:t>Africa</w:t>
            </w:r>
            <w:r w:rsidRPr="00804831">
              <w:rPr>
                <w:rFonts w:ascii="Times New Roman" w:eastAsia="Times New Roman" w:hAnsi="Times New Roman" w:cs="Times New Roman"/>
                <w:sz w:val="22"/>
                <w:szCs w:val="22"/>
                <w:vertAlign w:val="superscript"/>
              </w:rPr>
              <w:t>b</w:t>
            </w:r>
            <w:proofErr w:type="spellEnd"/>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0.9953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1.0068</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0.9485</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(0.839)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(0.839)</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(0.783)</w:t>
            </w:r>
          </w:p>
        </w:tc>
      </w:tr>
      <w:tr w:rsidR="00922CD5" w:rsidRPr="00804831" w:rsidTr="00135F6E">
        <w:trPr>
          <w:trHeight w:val="308"/>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proofErr w:type="spellStart"/>
            <w:r w:rsidRPr="00804831">
              <w:rPr>
                <w:rFonts w:ascii="Times New Roman" w:eastAsia="Times New Roman" w:hAnsi="Times New Roman" w:cs="Times New Roman"/>
                <w:sz w:val="22"/>
                <w:szCs w:val="22"/>
              </w:rPr>
              <w:t>Europe</w:t>
            </w:r>
            <w:r w:rsidRPr="00804831">
              <w:rPr>
                <w:rFonts w:ascii="Times New Roman" w:eastAsia="Times New Roman" w:hAnsi="Times New Roman" w:cs="Times New Roman"/>
                <w:sz w:val="22"/>
                <w:szCs w:val="22"/>
                <w:vertAlign w:val="superscript"/>
              </w:rPr>
              <w:t>b</w:t>
            </w:r>
            <w:proofErr w:type="spellEnd"/>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1.3261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1.2714</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(1.256)</w:t>
            </w:r>
          </w:p>
        </w:tc>
      </w:tr>
      <w:tr w:rsidR="00922CD5" w:rsidRPr="00804831" w:rsidTr="00135F6E">
        <w:trPr>
          <w:trHeight w:val="269"/>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(1.130)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(1.081)</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(1.067)</w:t>
            </w:r>
          </w:p>
        </w:tc>
      </w:tr>
      <w:tr w:rsidR="00922CD5" w:rsidRPr="00804831" w:rsidTr="00135F6E">
        <w:trPr>
          <w:trHeight w:val="308"/>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 xml:space="preserve">Central &amp; South </w:t>
            </w:r>
            <w:proofErr w:type="spellStart"/>
            <w:r w:rsidRPr="00804831">
              <w:rPr>
                <w:rFonts w:ascii="Times New Roman" w:eastAsia="Times New Roman" w:hAnsi="Times New Roman" w:cs="Times New Roman"/>
                <w:sz w:val="22"/>
                <w:szCs w:val="22"/>
              </w:rPr>
              <w:t>America</w:t>
            </w:r>
            <w:r w:rsidRPr="00804831">
              <w:rPr>
                <w:rFonts w:ascii="Times New Roman" w:eastAsia="Times New Roman" w:hAnsi="Times New Roman" w:cs="Times New Roman"/>
                <w:sz w:val="22"/>
                <w:szCs w:val="22"/>
                <w:vertAlign w:val="superscript"/>
              </w:rPr>
              <w:t>b</w:t>
            </w:r>
            <w:proofErr w:type="spellEnd"/>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1.8098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1.8776</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1.9254</w:t>
            </w:r>
          </w:p>
        </w:tc>
      </w:tr>
      <w:tr w:rsidR="00922CD5" w:rsidRPr="00804831" w:rsidTr="00135F6E">
        <w:trPr>
          <w:trHeight w:val="269"/>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(1.504)</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(1.543)</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(1.583)</w:t>
            </w:r>
          </w:p>
        </w:tc>
      </w:tr>
      <w:tr w:rsidR="00922CD5" w:rsidRPr="00804831" w:rsidTr="00135F6E">
        <w:trPr>
          <w:trHeight w:val="308"/>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proofErr w:type="spellStart"/>
            <w:r w:rsidRPr="00804831">
              <w:rPr>
                <w:rFonts w:ascii="Times New Roman" w:eastAsia="Times New Roman" w:hAnsi="Times New Roman" w:cs="Times New Roman"/>
                <w:sz w:val="22"/>
                <w:szCs w:val="22"/>
              </w:rPr>
              <w:t>Asia</w:t>
            </w:r>
            <w:r w:rsidRPr="00804831">
              <w:rPr>
                <w:rFonts w:ascii="Times New Roman" w:eastAsia="Times New Roman" w:hAnsi="Times New Roman" w:cs="Times New Roman"/>
                <w:sz w:val="22"/>
                <w:szCs w:val="22"/>
                <w:vertAlign w:val="superscript"/>
              </w:rPr>
              <w:t>b</w:t>
            </w:r>
            <w:proofErr w:type="spellEnd"/>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0.9723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0.9856</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0.8513</w:t>
            </w:r>
          </w:p>
        </w:tc>
      </w:tr>
      <w:tr w:rsidR="00922CD5" w:rsidRPr="00804831" w:rsidTr="00135F6E">
        <w:trPr>
          <w:trHeight w:val="269"/>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(0.817)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(0.809)</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(0.693)</w:t>
            </w:r>
          </w:p>
        </w:tc>
      </w:tr>
      <w:tr w:rsidR="00922CD5" w:rsidRPr="00804831" w:rsidTr="00135F6E">
        <w:trPr>
          <w:trHeight w:val="308"/>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proofErr w:type="spellStart"/>
            <w:r w:rsidRPr="00804831">
              <w:rPr>
                <w:rFonts w:ascii="Times New Roman" w:eastAsia="Times New Roman" w:hAnsi="Times New Roman" w:cs="Times New Roman"/>
                <w:sz w:val="22"/>
                <w:szCs w:val="22"/>
              </w:rPr>
              <w:t>Oceania</w:t>
            </w:r>
            <w:r w:rsidRPr="00804831">
              <w:rPr>
                <w:rFonts w:ascii="Times New Roman" w:eastAsia="Times New Roman" w:hAnsi="Times New Roman" w:cs="Times New Roman"/>
                <w:sz w:val="22"/>
                <w:szCs w:val="22"/>
                <w:vertAlign w:val="superscript"/>
              </w:rPr>
              <w:t>b</w:t>
            </w:r>
            <w:proofErr w:type="spellEnd"/>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0.4473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0.4531</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0.439</w:t>
            </w:r>
          </w:p>
        </w:tc>
      </w:tr>
      <w:tr w:rsidR="00922CD5" w:rsidRPr="00804831" w:rsidTr="00135F6E">
        <w:trPr>
          <w:trHeight w:val="269"/>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(0.479)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(0.485)</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(0.469)</w:t>
            </w:r>
          </w:p>
        </w:tc>
      </w:tr>
      <w:tr w:rsidR="00922CD5" w:rsidRPr="00804831" w:rsidTr="00135F6E">
        <w:trPr>
          <w:trHeight w:val="308"/>
        </w:trPr>
        <w:tc>
          <w:tcPr>
            <w:tcW w:w="3028" w:type="dxa"/>
            <w:tcBorders>
              <w:top w:val="nil"/>
              <w:left w:val="nil"/>
              <w:bottom w:val="nil"/>
              <w:right w:val="nil"/>
            </w:tcBorders>
            <w:shd w:val="clear" w:color="auto" w:fill="auto"/>
            <w:noWrap/>
            <w:vAlign w:val="center"/>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Total emigration</w:t>
            </w:r>
            <w:r w:rsidRPr="00804831">
              <w:rPr>
                <w:rFonts w:ascii="Times New Roman" w:eastAsia="Times New Roman" w:hAnsi="Times New Roman" w:cs="Times New Roman"/>
                <w:sz w:val="22"/>
                <w:szCs w:val="22"/>
                <w:vertAlign w:val="subscript"/>
              </w:rPr>
              <w:t>t-1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1.1033</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(0.132)</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Time at risk</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2106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2106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1981</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2106</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2106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2106</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2106</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2106</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Number of subjects</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147</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148</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148</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148</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148</w:t>
            </w:r>
          </w:p>
        </w:tc>
      </w:tr>
      <w:tr w:rsidR="00922CD5" w:rsidRPr="00804831" w:rsidTr="00135F6E">
        <w:trPr>
          <w:trHeight w:val="269"/>
        </w:trPr>
        <w:tc>
          <w:tcPr>
            <w:tcW w:w="3028" w:type="dxa"/>
            <w:tcBorders>
              <w:top w:val="nil"/>
              <w:left w:val="nil"/>
              <w:bottom w:val="nil"/>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Number of failures</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80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80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79</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80</w:t>
            </w:r>
          </w:p>
        </w:tc>
        <w:tc>
          <w:tcPr>
            <w:tcW w:w="1189"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80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80</w:t>
            </w:r>
          </w:p>
        </w:tc>
        <w:tc>
          <w:tcPr>
            <w:tcW w:w="1314"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80</w:t>
            </w:r>
          </w:p>
        </w:tc>
        <w:tc>
          <w:tcPr>
            <w:tcW w:w="1323" w:type="dxa"/>
            <w:tcBorders>
              <w:top w:val="nil"/>
              <w:left w:val="nil"/>
              <w:bottom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80</w:t>
            </w:r>
          </w:p>
        </w:tc>
      </w:tr>
      <w:tr w:rsidR="00922CD5" w:rsidRPr="00804831" w:rsidTr="00135F6E">
        <w:trPr>
          <w:trHeight w:val="269"/>
        </w:trPr>
        <w:tc>
          <w:tcPr>
            <w:tcW w:w="3028" w:type="dxa"/>
            <w:tcBorders>
              <w:top w:val="nil"/>
              <w:left w:val="nil"/>
              <w:right w:val="nil"/>
            </w:tcBorders>
            <w:shd w:val="clear" w:color="auto" w:fill="auto"/>
            <w:noWrap/>
            <w:vAlign w:val="bottom"/>
            <w:hideMark/>
          </w:tcPr>
          <w:p w:rsidR="00922CD5" w:rsidRPr="00B079E0"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LR chi</w:t>
            </w:r>
            <w:r>
              <w:rPr>
                <w:rFonts w:ascii="Times New Roman" w:eastAsia="Times New Roman" w:hAnsi="Times New Roman" w:cs="Times New Roman"/>
                <w:sz w:val="22"/>
                <w:szCs w:val="22"/>
              </w:rPr>
              <w:t>2</w:t>
            </w:r>
          </w:p>
        </w:tc>
        <w:tc>
          <w:tcPr>
            <w:tcW w:w="1314" w:type="dxa"/>
            <w:tcBorders>
              <w:top w:val="nil"/>
              <w:left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63.56***</w:t>
            </w:r>
          </w:p>
        </w:tc>
        <w:tc>
          <w:tcPr>
            <w:tcW w:w="1314" w:type="dxa"/>
            <w:tcBorders>
              <w:top w:val="nil"/>
              <w:left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64.21***</w:t>
            </w:r>
          </w:p>
        </w:tc>
        <w:tc>
          <w:tcPr>
            <w:tcW w:w="1314" w:type="dxa"/>
            <w:tcBorders>
              <w:top w:val="nil"/>
              <w:left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63.93***</w:t>
            </w:r>
          </w:p>
        </w:tc>
        <w:tc>
          <w:tcPr>
            <w:tcW w:w="1314" w:type="dxa"/>
            <w:tcBorders>
              <w:top w:val="nil"/>
              <w:left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64.10***</w:t>
            </w:r>
          </w:p>
        </w:tc>
        <w:tc>
          <w:tcPr>
            <w:tcW w:w="1189" w:type="dxa"/>
            <w:tcBorders>
              <w:top w:val="nil"/>
              <w:left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64.11***</w:t>
            </w:r>
          </w:p>
        </w:tc>
        <w:tc>
          <w:tcPr>
            <w:tcW w:w="1314" w:type="dxa"/>
            <w:tcBorders>
              <w:top w:val="nil"/>
              <w:left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67.60***</w:t>
            </w:r>
          </w:p>
        </w:tc>
        <w:tc>
          <w:tcPr>
            <w:tcW w:w="1314" w:type="dxa"/>
            <w:tcBorders>
              <w:top w:val="nil"/>
              <w:left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67.83***</w:t>
            </w:r>
          </w:p>
        </w:tc>
        <w:tc>
          <w:tcPr>
            <w:tcW w:w="1323" w:type="dxa"/>
            <w:tcBorders>
              <w:top w:val="nil"/>
              <w:left w:val="nil"/>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68.29***</w:t>
            </w:r>
          </w:p>
        </w:tc>
      </w:tr>
      <w:tr w:rsidR="00922CD5" w:rsidRPr="00804831" w:rsidTr="00135F6E">
        <w:trPr>
          <w:trHeight w:val="269"/>
        </w:trPr>
        <w:tc>
          <w:tcPr>
            <w:tcW w:w="3028"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Log likelihood</w:t>
            </w:r>
          </w:p>
        </w:tc>
        <w:tc>
          <w:tcPr>
            <w:tcW w:w="1314"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-337.747</w:t>
            </w:r>
          </w:p>
        </w:tc>
        <w:tc>
          <w:tcPr>
            <w:tcW w:w="1314"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-337.421</w:t>
            </w:r>
          </w:p>
        </w:tc>
        <w:tc>
          <w:tcPr>
            <w:tcW w:w="1314"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-332.733</w:t>
            </w:r>
          </w:p>
        </w:tc>
        <w:tc>
          <w:tcPr>
            <w:tcW w:w="1314"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-337.477</w:t>
            </w:r>
          </w:p>
        </w:tc>
        <w:tc>
          <w:tcPr>
            <w:tcW w:w="1189"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-337.474</w:t>
            </w:r>
          </w:p>
        </w:tc>
        <w:tc>
          <w:tcPr>
            <w:tcW w:w="1314"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-335.727</w:t>
            </w:r>
          </w:p>
        </w:tc>
        <w:tc>
          <w:tcPr>
            <w:tcW w:w="1314"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-335.614</w:t>
            </w:r>
          </w:p>
        </w:tc>
        <w:tc>
          <w:tcPr>
            <w:tcW w:w="1323" w:type="dxa"/>
            <w:tcBorders>
              <w:top w:val="nil"/>
              <w:left w:val="nil"/>
              <w:bottom w:val="single" w:sz="4" w:space="0" w:color="auto"/>
              <w:right w:val="nil"/>
            </w:tcBorders>
            <w:shd w:val="clear" w:color="auto" w:fill="auto"/>
            <w:noWrap/>
            <w:vAlign w:val="bottom"/>
            <w:hideMark/>
          </w:tcPr>
          <w:p w:rsidR="00922CD5" w:rsidRPr="00804831" w:rsidRDefault="00922CD5" w:rsidP="00135F6E">
            <w:pPr>
              <w:spacing w:line="276" w:lineRule="auto"/>
              <w:jc w:val="right"/>
              <w:rPr>
                <w:rFonts w:ascii="Times New Roman" w:eastAsia="Times New Roman" w:hAnsi="Times New Roman" w:cs="Times New Roman"/>
                <w:sz w:val="22"/>
                <w:szCs w:val="22"/>
              </w:rPr>
            </w:pPr>
            <w:r w:rsidRPr="00804831">
              <w:rPr>
                <w:rFonts w:ascii="Times New Roman" w:eastAsia="Times New Roman" w:hAnsi="Times New Roman" w:cs="Times New Roman"/>
                <w:sz w:val="22"/>
                <w:szCs w:val="22"/>
              </w:rPr>
              <w:t>-335.381</w:t>
            </w:r>
          </w:p>
        </w:tc>
      </w:tr>
    </w:tbl>
    <w:p w:rsidR="00922CD5" w:rsidRPr="008E5EFD" w:rsidRDefault="00922CD5" w:rsidP="00922CD5">
      <w:pPr>
        <w:tabs>
          <w:tab w:val="left" w:pos="990"/>
        </w:tabs>
        <w:rPr>
          <w:rFonts w:ascii="Times New Roman" w:hAnsi="Times New Roman" w:cs="Times New Roman"/>
          <w:sz w:val="22"/>
          <w:szCs w:val="22"/>
        </w:rPr>
      </w:pPr>
      <w:proofErr w:type="gramStart"/>
      <w:r w:rsidRPr="00FD5CA5">
        <w:rPr>
          <w:rFonts w:ascii="Times New Roman" w:hAnsi="Times New Roman" w:cs="Times New Roman"/>
          <w:sz w:val="20"/>
          <w:szCs w:val="20"/>
          <w:vertAlign w:val="superscript"/>
        </w:rPr>
        <w:t>a</w:t>
      </w:r>
      <w:proofErr w:type="gramEnd"/>
      <w:r>
        <w:rPr>
          <w:rFonts w:ascii="Times New Roman" w:hAnsi="Times New Roman" w:cs="Times New Roman"/>
          <w:sz w:val="20"/>
          <w:szCs w:val="20"/>
        </w:rPr>
        <w:t xml:space="preserve"> Hazard ratios </w:t>
      </w:r>
      <w:r w:rsidRPr="00FD5CA5">
        <w:rPr>
          <w:rFonts w:ascii="Times New Roman" w:hAnsi="Times New Roman" w:cs="Times New Roman"/>
          <w:sz w:val="20"/>
          <w:szCs w:val="20"/>
        </w:rPr>
        <w:t xml:space="preserve">reported. </w:t>
      </w:r>
      <w:r>
        <w:rPr>
          <w:rFonts w:ascii="Times New Roman" w:hAnsi="Times New Roman" w:cs="Times New Roman"/>
          <w:sz w:val="20"/>
          <w:szCs w:val="20"/>
        </w:rPr>
        <w:t>S</w:t>
      </w:r>
      <w:r w:rsidRPr="00FD5CA5">
        <w:rPr>
          <w:rFonts w:ascii="Times New Roman" w:hAnsi="Times New Roman" w:cs="Times New Roman"/>
          <w:sz w:val="20"/>
          <w:szCs w:val="20"/>
        </w:rPr>
        <w:t>tandard errors are in parentheses.</w:t>
      </w:r>
      <w:r>
        <w:rPr>
          <w:rFonts w:ascii="Times New Roman" w:hAnsi="Times New Roman" w:cs="Times New Roman"/>
          <w:sz w:val="20"/>
          <w:szCs w:val="20"/>
        </w:rPr>
        <w:t xml:space="preserve"> </w:t>
      </w:r>
      <w:r w:rsidRPr="008E5EFD">
        <w:rPr>
          <w:rFonts w:ascii="Times New Roman" w:hAnsi="Times New Roman" w:cs="Times New Roman"/>
          <w:sz w:val="20"/>
          <w:szCs w:val="22"/>
        </w:rPr>
        <w:t>Significance levels denoted by ***=p&lt;0.01, **=p&lt;0.05, and *=p&lt;0.1.</w:t>
      </w:r>
    </w:p>
    <w:p w:rsidR="00922CD5" w:rsidRDefault="00922CD5" w:rsidP="00922CD5">
      <w:pPr>
        <w:tabs>
          <w:tab w:val="left" w:pos="990"/>
        </w:tabs>
      </w:pPr>
      <w:proofErr w:type="gramStart"/>
      <w:r w:rsidRPr="00FD5CA5">
        <w:rPr>
          <w:rFonts w:ascii="Times New Roman" w:hAnsi="Times New Roman" w:cs="Times New Roman"/>
          <w:sz w:val="20"/>
          <w:szCs w:val="20"/>
          <w:vertAlign w:val="superscript"/>
        </w:rPr>
        <w:t>b</w:t>
      </w:r>
      <w:proofErr w:type="gramEnd"/>
      <w:r w:rsidRPr="00FD5CA5">
        <w:rPr>
          <w:rFonts w:ascii="Times New Roman" w:hAnsi="Times New Roman" w:cs="Times New Roman"/>
          <w:sz w:val="20"/>
          <w:szCs w:val="20"/>
        </w:rPr>
        <w:t xml:space="preserve"> Omitted category is</w:t>
      </w:r>
      <w:r>
        <w:rPr>
          <w:rFonts w:ascii="Times New Roman" w:hAnsi="Times New Roman" w:cs="Times New Roman"/>
          <w:sz w:val="20"/>
          <w:szCs w:val="20"/>
        </w:rPr>
        <w:t xml:space="preserve"> North America.</w:t>
      </w:r>
      <w:r>
        <w:t xml:space="preserve"> </w:t>
      </w:r>
      <w:r>
        <w:br w:type="page"/>
      </w:r>
    </w:p>
    <w:p w:rsidR="00922CD5" w:rsidRPr="00BD1DC8" w:rsidRDefault="00922CD5" w:rsidP="00922CD5">
      <w:pPr>
        <w:rPr>
          <w:rFonts w:ascii="Times New Roman" w:hAnsi="Times New Roman" w:cs="Times New Roman"/>
          <w:b/>
          <w:szCs w:val="20"/>
          <w:vertAlign w:val="superscript"/>
        </w:rPr>
      </w:pPr>
      <w:r w:rsidRPr="00BD1DC8">
        <w:rPr>
          <w:rFonts w:ascii="Times New Roman" w:hAnsi="Times New Roman" w:cs="Times New Roman"/>
          <w:b/>
          <w:szCs w:val="20"/>
        </w:rPr>
        <w:t xml:space="preserve">Table 3. Event History </w:t>
      </w:r>
      <w:proofErr w:type="spellStart"/>
      <w:r w:rsidRPr="00BD1DC8">
        <w:rPr>
          <w:rFonts w:ascii="Times New Roman" w:hAnsi="Times New Roman" w:cs="Times New Roman"/>
          <w:b/>
          <w:szCs w:val="20"/>
        </w:rPr>
        <w:t>Estimations</w:t>
      </w:r>
      <w:r w:rsidRPr="00BD1DC8">
        <w:rPr>
          <w:rFonts w:ascii="Times New Roman" w:hAnsi="Times New Roman" w:cs="Times New Roman"/>
          <w:b/>
          <w:szCs w:val="20"/>
          <w:vertAlign w:val="superscript"/>
        </w:rPr>
        <w:t>a</w:t>
      </w:r>
      <w:proofErr w:type="spellEnd"/>
    </w:p>
    <w:tbl>
      <w:tblPr>
        <w:tblW w:w="12715" w:type="dxa"/>
        <w:tblInd w:w="93" w:type="dxa"/>
        <w:tblLook w:val="04A0" w:firstRow="1" w:lastRow="0" w:firstColumn="1" w:lastColumn="0" w:noHBand="0" w:noVBand="1"/>
      </w:tblPr>
      <w:tblGrid>
        <w:gridCol w:w="3576"/>
        <w:gridCol w:w="1524"/>
        <w:gridCol w:w="1523"/>
        <w:gridCol w:w="1523"/>
        <w:gridCol w:w="1523"/>
        <w:gridCol w:w="1523"/>
        <w:gridCol w:w="1523"/>
      </w:tblGrid>
      <w:tr w:rsidR="00922CD5" w:rsidRPr="00B92118" w:rsidTr="00135F6E">
        <w:trPr>
          <w:trHeight w:val="231"/>
        </w:trPr>
        <w:tc>
          <w:tcPr>
            <w:tcW w:w="3576" w:type="dxa"/>
            <w:tcBorders>
              <w:top w:val="single" w:sz="4" w:space="0" w:color="auto"/>
              <w:left w:val="nil"/>
              <w:bottom w:val="single" w:sz="4" w:space="0" w:color="auto"/>
              <w:right w:val="nil"/>
            </w:tcBorders>
            <w:shd w:val="clear" w:color="auto" w:fill="auto"/>
            <w:noWrap/>
            <w:vAlign w:val="bottom"/>
            <w:hideMark/>
          </w:tcPr>
          <w:p w:rsidR="00922CD5" w:rsidRPr="00B079E0" w:rsidRDefault="00922CD5" w:rsidP="00135F6E">
            <w:pPr>
              <w:spacing w:line="276" w:lineRule="auto"/>
              <w:rPr>
                <w:rFonts w:ascii="Times New Roman" w:eastAsia="Times New Roman" w:hAnsi="Times New Roman" w:cs="Times New Roman"/>
                <w:bCs/>
                <w:sz w:val="22"/>
                <w:szCs w:val="22"/>
              </w:rPr>
            </w:pPr>
            <w:r w:rsidRPr="00B079E0">
              <w:rPr>
                <w:rFonts w:ascii="Times New Roman" w:eastAsia="Times New Roman" w:hAnsi="Times New Roman" w:cs="Times New Roman"/>
                <w:bCs/>
                <w:sz w:val="22"/>
                <w:szCs w:val="22"/>
              </w:rPr>
              <w:t>Variables/Models</w:t>
            </w:r>
          </w:p>
        </w:tc>
        <w:tc>
          <w:tcPr>
            <w:tcW w:w="1524" w:type="dxa"/>
            <w:tcBorders>
              <w:top w:val="single" w:sz="4" w:space="0" w:color="auto"/>
              <w:left w:val="nil"/>
              <w:bottom w:val="single" w:sz="4" w:space="0" w:color="auto"/>
              <w:right w:val="nil"/>
            </w:tcBorders>
            <w:shd w:val="clear" w:color="auto" w:fill="auto"/>
            <w:noWrap/>
            <w:vAlign w:val="center"/>
            <w:hideMark/>
          </w:tcPr>
          <w:p w:rsidR="00922CD5" w:rsidRPr="00B92118" w:rsidRDefault="00922CD5" w:rsidP="00135F6E">
            <w:pPr>
              <w:spacing w:line="276" w:lineRule="auto"/>
              <w:jc w:val="center"/>
              <w:rPr>
                <w:rFonts w:ascii="Times New Roman" w:eastAsia="Times New Roman" w:hAnsi="Times New Roman" w:cs="Times New Roman"/>
                <w:b/>
                <w:bCs/>
                <w:sz w:val="22"/>
                <w:szCs w:val="22"/>
              </w:rPr>
            </w:pPr>
            <w:r w:rsidRPr="00B92118">
              <w:rPr>
                <w:rFonts w:ascii="Times New Roman" w:eastAsia="Times New Roman" w:hAnsi="Times New Roman" w:cs="Times New Roman"/>
                <w:b/>
                <w:bCs/>
                <w:sz w:val="22"/>
                <w:szCs w:val="22"/>
              </w:rPr>
              <w:t>(9)</w:t>
            </w:r>
          </w:p>
        </w:tc>
        <w:tc>
          <w:tcPr>
            <w:tcW w:w="1523" w:type="dxa"/>
            <w:tcBorders>
              <w:top w:val="single" w:sz="4" w:space="0" w:color="auto"/>
              <w:left w:val="nil"/>
              <w:bottom w:val="single" w:sz="4" w:space="0" w:color="auto"/>
              <w:right w:val="nil"/>
            </w:tcBorders>
            <w:shd w:val="clear" w:color="auto" w:fill="auto"/>
            <w:noWrap/>
            <w:vAlign w:val="center"/>
            <w:hideMark/>
          </w:tcPr>
          <w:p w:rsidR="00922CD5" w:rsidRPr="00B92118" w:rsidRDefault="00922CD5" w:rsidP="00135F6E">
            <w:pPr>
              <w:spacing w:line="276" w:lineRule="auto"/>
              <w:jc w:val="center"/>
              <w:rPr>
                <w:rFonts w:ascii="Times New Roman" w:eastAsia="Times New Roman" w:hAnsi="Times New Roman" w:cs="Times New Roman"/>
                <w:b/>
                <w:bCs/>
                <w:sz w:val="22"/>
                <w:szCs w:val="22"/>
              </w:rPr>
            </w:pPr>
            <w:r w:rsidRPr="00B92118">
              <w:rPr>
                <w:rFonts w:ascii="Times New Roman" w:eastAsia="Times New Roman" w:hAnsi="Times New Roman" w:cs="Times New Roman"/>
                <w:b/>
                <w:bCs/>
                <w:sz w:val="22"/>
                <w:szCs w:val="22"/>
              </w:rPr>
              <w:t>(10)</w:t>
            </w:r>
          </w:p>
        </w:tc>
        <w:tc>
          <w:tcPr>
            <w:tcW w:w="1523" w:type="dxa"/>
            <w:tcBorders>
              <w:top w:val="single" w:sz="4" w:space="0" w:color="auto"/>
              <w:left w:val="nil"/>
              <w:bottom w:val="single" w:sz="4" w:space="0" w:color="auto"/>
              <w:right w:val="nil"/>
            </w:tcBorders>
            <w:shd w:val="clear" w:color="auto" w:fill="auto"/>
            <w:noWrap/>
            <w:vAlign w:val="center"/>
            <w:hideMark/>
          </w:tcPr>
          <w:p w:rsidR="00922CD5" w:rsidRPr="00B92118" w:rsidRDefault="00922CD5" w:rsidP="00135F6E">
            <w:pPr>
              <w:spacing w:line="276" w:lineRule="auto"/>
              <w:jc w:val="center"/>
              <w:rPr>
                <w:rFonts w:ascii="Times New Roman" w:eastAsia="Times New Roman" w:hAnsi="Times New Roman" w:cs="Times New Roman"/>
                <w:b/>
                <w:bCs/>
                <w:sz w:val="22"/>
                <w:szCs w:val="22"/>
              </w:rPr>
            </w:pPr>
            <w:r w:rsidRPr="00B92118">
              <w:rPr>
                <w:rFonts w:ascii="Times New Roman" w:eastAsia="Times New Roman" w:hAnsi="Times New Roman" w:cs="Times New Roman"/>
                <w:b/>
                <w:bCs/>
                <w:sz w:val="22"/>
                <w:szCs w:val="22"/>
              </w:rPr>
              <w:t>(11)</w:t>
            </w:r>
          </w:p>
        </w:tc>
        <w:tc>
          <w:tcPr>
            <w:tcW w:w="1523" w:type="dxa"/>
            <w:tcBorders>
              <w:top w:val="single" w:sz="4" w:space="0" w:color="auto"/>
              <w:left w:val="nil"/>
              <w:bottom w:val="single" w:sz="4" w:space="0" w:color="auto"/>
              <w:right w:val="nil"/>
            </w:tcBorders>
            <w:shd w:val="clear" w:color="auto" w:fill="auto"/>
            <w:noWrap/>
            <w:vAlign w:val="center"/>
            <w:hideMark/>
          </w:tcPr>
          <w:p w:rsidR="00922CD5" w:rsidRPr="00B92118" w:rsidRDefault="00922CD5" w:rsidP="00135F6E">
            <w:pPr>
              <w:spacing w:line="276" w:lineRule="auto"/>
              <w:jc w:val="center"/>
              <w:rPr>
                <w:rFonts w:ascii="Times New Roman" w:eastAsia="Times New Roman" w:hAnsi="Times New Roman" w:cs="Times New Roman"/>
                <w:b/>
                <w:bCs/>
                <w:sz w:val="22"/>
                <w:szCs w:val="22"/>
              </w:rPr>
            </w:pPr>
            <w:r w:rsidRPr="00B92118">
              <w:rPr>
                <w:rFonts w:ascii="Times New Roman" w:eastAsia="Times New Roman" w:hAnsi="Times New Roman" w:cs="Times New Roman"/>
                <w:b/>
                <w:bCs/>
                <w:sz w:val="22"/>
                <w:szCs w:val="22"/>
              </w:rPr>
              <w:t>(12)</w:t>
            </w:r>
          </w:p>
        </w:tc>
        <w:tc>
          <w:tcPr>
            <w:tcW w:w="1523" w:type="dxa"/>
            <w:tcBorders>
              <w:top w:val="single" w:sz="4" w:space="0" w:color="auto"/>
              <w:left w:val="nil"/>
              <w:bottom w:val="single" w:sz="4" w:space="0" w:color="auto"/>
              <w:right w:val="nil"/>
            </w:tcBorders>
            <w:shd w:val="clear" w:color="auto" w:fill="auto"/>
            <w:noWrap/>
            <w:vAlign w:val="bottom"/>
            <w:hideMark/>
          </w:tcPr>
          <w:p w:rsidR="00922CD5" w:rsidRPr="00B92118" w:rsidRDefault="00922CD5" w:rsidP="00135F6E">
            <w:pPr>
              <w:spacing w:line="276" w:lineRule="auto"/>
              <w:jc w:val="center"/>
              <w:rPr>
                <w:rFonts w:ascii="Times New Roman" w:eastAsia="Times New Roman" w:hAnsi="Times New Roman" w:cs="Times New Roman"/>
                <w:b/>
                <w:bCs/>
                <w:sz w:val="22"/>
                <w:szCs w:val="22"/>
              </w:rPr>
            </w:pPr>
            <w:r w:rsidRPr="00B92118">
              <w:rPr>
                <w:rFonts w:ascii="Times New Roman" w:eastAsia="Times New Roman" w:hAnsi="Times New Roman" w:cs="Times New Roman"/>
                <w:b/>
                <w:bCs/>
                <w:sz w:val="22"/>
                <w:szCs w:val="22"/>
              </w:rPr>
              <w:t>(13)</w:t>
            </w:r>
          </w:p>
        </w:tc>
        <w:tc>
          <w:tcPr>
            <w:tcW w:w="1523" w:type="dxa"/>
            <w:tcBorders>
              <w:top w:val="single" w:sz="4" w:space="0" w:color="auto"/>
              <w:left w:val="nil"/>
              <w:bottom w:val="single" w:sz="4" w:space="0" w:color="auto"/>
              <w:right w:val="nil"/>
            </w:tcBorders>
            <w:shd w:val="clear" w:color="auto" w:fill="auto"/>
            <w:noWrap/>
            <w:vAlign w:val="bottom"/>
            <w:hideMark/>
          </w:tcPr>
          <w:p w:rsidR="00922CD5" w:rsidRPr="00B92118" w:rsidRDefault="00922CD5" w:rsidP="00135F6E">
            <w:pPr>
              <w:spacing w:line="276" w:lineRule="auto"/>
              <w:jc w:val="center"/>
              <w:rPr>
                <w:rFonts w:ascii="Times New Roman" w:eastAsia="Times New Roman" w:hAnsi="Times New Roman" w:cs="Times New Roman"/>
                <w:b/>
                <w:bCs/>
                <w:sz w:val="22"/>
                <w:szCs w:val="22"/>
              </w:rPr>
            </w:pPr>
            <w:r w:rsidRPr="00B92118">
              <w:rPr>
                <w:rFonts w:ascii="Times New Roman" w:eastAsia="Times New Roman" w:hAnsi="Times New Roman" w:cs="Times New Roman"/>
                <w:b/>
                <w:bCs/>
                <w:sz w:val="22"/>
                <w:szCs w:val="22"/>
              </w:rPr>
              <w:t>(14)</w:t>
            </w:r>
          </w:p>
        </w:tc>
      </w:tr>
      <w:tr w:rsidR="00922CD5" w:rsidRPr="00B92118" w:rsidTr="00135F6E">
        <w:trPr>
          <w:trHeight w:val="231"/>
        </w:trPr>
        <w:tc>
          <w:tcPr>
            <w:tcW w:w="3576" w:type="dxa"/>
            <w:tcBorders>
              <w:top w:val="single" w:sz="4" w:space="0" w:color="auto"/>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Regime type</w:t>
            </w:r>
          </w:p>
        </w:tc>
        <w:tc>
          <w:tcPr>
            <w:tcW w:w="1524" w:type="dxa"/>
            <w:tcBorders>
              <w:top w:val="single" w:sz="4" w:space="0" w:color="auto"/>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0.9416***</w:t>
            </w:r>
          </w:p>
        </w:tc>
        <w:tc>
          <w:tcPr>
            <w:tcW w:w="1523" w:type="dxa"/>
            <w:tcBorders>
              <w:top w:val="single" w:sz="4" w:space="0" w:color="auto"/>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0.9412***</w:t>
            </w:r>
          </w:p>
        </w:tc>
        <w:tc>
          <w:tcPr>
            <w:tcW w:w="1523" w:type="dxa"/>
            <w:tcBorders>
              <w:top w:val="single" w:sz="4" w:space="0" w:color="auto"/>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0.9422***</w:t>
            </w:r>
          </w:p>
        </w:tc>
        <w:tc>
          <w:tcPr>
            <w:tcW w:w="1523" w:type="dxa"/>
            <w:tcBorders>
              <w:top w:val="single" w:sz="4" w:space="0" w:color="auto"/>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0.9413***</w:t>
            </w:r>
          </w:p>
        </w:tc>
        <w:tc>
          <w:tcPr>
            <w:tcW w:w="1523" w:type="dxa"/>
            <w:tcBorders>
              <w:top w:val="single" w:sz="4" w:space="0" w:color="auto"/>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0.9413***</w:t>
            </w:r>
          </w:p>
        </w:tc>
        <w:tc>
          <w:tcPr>
            <w:tcW w:w="1523" w:type="dxa"/>
            <w:tcBorders>
              <w:top w:val="single" w:sz="4" w:space="0" w:color="auto"/>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0.9421***</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(0.019)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(0.019)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(0.019)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(0.019)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(0.019)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(0.019)</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Population growth</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0.9569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0.9601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0.9359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0.9536</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0.9650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0.9346</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(0.077)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(0.079)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(0.078)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(0.077)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(0.079)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(0.078)</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Density</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0.99997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0.99997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0.9999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0.9998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0.9998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0.9999</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(0.001)</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Trade</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0.9996</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0.9997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1.0005</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1.0004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1.0001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1.0005</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(0.003)</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Fractionalization</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2.5312</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2.504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2.4511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2.274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2.2871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2.4652</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(1.478)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(1.459)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(1.433)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(1.352)</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(1.344)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(1.443)</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Civil war</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2.2963*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2.3072*</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2.37*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2.6311*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2.5049*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2.3762</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(1.137)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(1.141)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(1.170)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(1.304)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(1.238)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(1.174)</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Total emigration</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1.0665</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0.2921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(0.142)</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(0.235)</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Low skill emigration</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1.0608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0.2486</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(0.133)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(0.305)</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High skill emigration</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0.9585</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0.9515</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(0.047)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(0.059)</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 xml:space="preserve">Middle </w:t>
            </w:r>
            <w:proofErr w:type="spellStart"/>
            <w:r w:rsidRPr="00B92118">
              <w:rPr>
                <w:rFonts w:ascii="Times New Roman" w:eastAsia="Times New Roman" w:hAnsi="Times New Roman" w:cs="Times New Roman"/>
                <w:sz w:val="22"/>
                <w:szCs w:val="22"/>
              </w:rPr>
              <w:t>income</w:t>
            </w:r>
            <w:r w:rsidRPr="00B079E0">
              <w:rPr>
                <w:rFonts w:ascii="Times New Roman" w:eastAsia="Times New Roman" w:hAnsi="Times New Roman" w:cs="Times New Roman"/>
                <w:sz w:val="22"/>
                <w:szCs w:val="22"/>
                <w:vertAlign w:val="superscript"/>
              </w:rPr>
              <w:t>b</w:t>
            </w:r>
            <w:proofErr w:type="spellEnd"/>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20.6627***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21.0506***</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21.704***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16.561***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15.6502***</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21.2282***</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(21.424)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(21.794)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(22.454)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(17.030)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(16.215)</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(22.074)</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 xml:space="preserve">Low </w:t>
            </w:r>
            <w:proofErr w:type="spellStart"/>
            <w:r w:rsidRPr="00B92118">
              <w:rPr>
                <w:rFonts w:ascii="Times New Roman" w:eastAsia="Times New Roman" w:hAnsi="Times New Roman" w:cs="Times New Roman"/>
                <w:sz w:val="22"/>
                <w:szCs w:val="22"/>
              </w:rPr>
              <w:t>income</w:t>
            </w:r>
            <w:r w:rsidRPr="00B079E0">
              <w:rPr>
                <w:rFonts w:ascii="Times New Roman" w:eastAsia="Times New Roman" w:hAnsi="Times New Roman" w:cs="Times New Roman"/>
                <w:sz w:val="22"/>
                <w:szCs w:val="22"/>
                <w:vertAlign w:val="superscript"/>
              </w:rPr>
              <w:t>b</w:t>
            </w:r>
            <w:proofErr w:type="spellEnd"/>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31.4676***</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32.197***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35.4699***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35.2453***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28.6184***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35.6265***</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(33.442)</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(34.181)</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(37.794)</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(37.065)</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(30.030)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(37.935)</w:t>
            </w:r>
          </w:p>
        </w:tc>
      </w:tr>
      <w:tr w:rsidR="00922CD5" w:rsidRPr="00B92118" w:rsidTr="00135F6E">
        <w:trPr>
          <w:trHeight w:val="231"/>
        </w:trPr>
        <w:tc>
          <w:tcPr>
            <w:tcW w:w="5100" w:type="dxa"/>
            <w:gridSpan w:val="2"/>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 xml:space="preserve">Total emigration x middle income </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3.8735*</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(3.128)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 xml:space="preserve">Low skill emigration x </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4.4077</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roofErr w:type="gramStart"/>
            <w:r w:rsidRPr="00B92118">
              <w:rPr>
                <w:rFonts w:ascii="Times New Roman" w:eastAsia="Times New Roman" w:hAnsi="Times New Roman" w:cs="Times New Roman"/>
                <w:sz w:val="22"/>
                <w:szCs w:val="22"/>
              </w:rPr>
              <w:t>middle</w:t>
            </w:r>
            <w:proofErr w:type="gramEnd"/>
            <w:r w:rsidRPr="00B92118">
              <w:rPr>
                <w:rFonts w:ascii="Times New Roman" w:eastAsia="Times New Roman" w:hAnsi="Times New Roman" w:cs="Times New Roman"/>
                <w:sz w:val="22"/>
                <w:szCs w:val="22"/>
              </w:rPr>
              <w:t xml:space="preserve"> income </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(5.423)</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 xml:space="preserve">High skill emigration x </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1.0190</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roofErr w:type="gramStart"/>
            <w:r w:rsidRPr="00B92118">
              <w:rPr>
                <w:rFonts w:ascii="Times New Roman" w:eastAsia="Times New Roman" w:hAnsi="Times New Roman" w:cs="Times New Roman"/>
                <w:sz w:val="22"/>
                <w:szCs w:val="22"/>
              </w:rPr>
              <w:t>middle</w:t>
            </w:r>
            <w:proofErr w:type="gramEnd"/>
            <w:r w:rsidRPr="00B92118">
              <w:rPr>
                <w:rFonts w:ascii="Times New Roman" w:eastAsia="Times New Roman" w:hAnsi="Times New Roman" w:cs="Times New Roman"/>
                <w:sz w:val="22"/>
                <w:szCs w:val="22"/>
              </w:rPr>
              <w:t xml:space="preserve"> income </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(0.097)</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Time at risk</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2138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2138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2138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2138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2138</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2138</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Number of subjects</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149</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149</w:t>
            </w:r>
          </w:p>
        </w:tc>
      </w:tr>
      <w:tr w:rsidR="00922CD5" w:rsidRPr="00B92118" w:rsidTr="00135F6E">
        <w:trPr>
          <w:trHeight w:val="231"/>
        </w:trPr>
        <w:tc>
          <w:tcPr>
            <w:tcW w:w="3576" w:type="dxa"/>
            <w:tcBorders>
              <w:top w:val="nil"/>
              <w:left w:val="nil"/>
              <w:bottom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Number of failures</w:t>
            </w:r>
          </w:p>
        </w:tc>
        <w:tc>
          <w:tcPr>
            <w:tcW w:w="1524"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80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80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80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80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80</w:t>
            </w:r>
          </w:p>
        </w:tc>
        <w:tc>
          <w:tcPr>
            <w:tcW w:w="1523" w:type="dxa"/>
            <w:tcBorders>
              <w:top w:val="nil"/>
              <w:left w:val="nil"/>
              <w:bottom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80</w:t>
            </w:r>
          </w:p>
        </w:tc>
      </w:tr>
      <w:tr w:rsidR="00922CD5" w:rsidRPr="00B92118" w:rsidTr="00135F6E">
        <w:trPr>
          <w:trHeight w:val="231"/>
        </w:trPr>
        <w:tc>
          <w:tcPr>
            <w:tcW w:w="3576" w:type="dxa"/>
            <w:tcBorders>
              <w:top w:val="nil"/>
              <w:left w:val="nil"/>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LR chi2</w:t>
            </w:r>
          </w:p>
        </w:tc>
        <w:tc>
          <w:tcPr>
            <w:tcW w:w="1524" w:type="dxa"/>
            <w:tcBorders>
              <w:top w:val="nil"/>
              <w:left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79.20***</w:t>
            </w:r>
          </w:p>
        </w:tc>
        <w:tc>
          <w:tcPr>
            <w:tcW w:w="1523" w:type="dxa"/>
            <w:tcBorders>
              <w:top w:val="nil"/>
              <w:left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79.19***</w:t>
            </w:r>
          </w:p>
        </w:tc>
        <w:tc>
          <w:tcPr>
            <w:tcW w:w="1523" w:type="dxa"/>
            <w:tcBorders>
              <w:top w:val="nil"/>
              <w:left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79.79***</w:t>
            </w:r>
          </w:p>
        </w:tc>
        <w:tc>
          <w:tcPr>
            <w:tcW w:w="1523" w:type="dxa"/>
            <w:tcBorders>
              <w:top w:val="nil"/>
              <w:left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83.86***</w:t>
            </w:r>
          </w:p>
        </w:tc>
        <w:tc>
          <w:tcPr>
            <w:tcW w:w="1523" w:type="dxa"/>
            <w:tcBorders>
              <w:top w:val="nil"/>
              <w:left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81.65***</w:t>
            </w:r>
          </w:p>
        </w:tc>
        <w:tc>
          <w:tcPr>
            <w:tcW w:w="1523" w:type="dxa"/>
            <w:tcBorders>
              <w:top w:val="nil"/>
              <w:left w:val="nil"/>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79.83***</w:t>
            </w:r>
          </w:p>
        </w:tc>
      </w:tr>
      <w:tr w:rsidR="00922CD5" w:rsidRPr="00B92118" w:rsidTr="00135F6E">
        <w:trPr>
          <w:trHeight w:val="231"/>
        </w:trPr>
        <w:tc>
          <w:tcPr>
            <w:tcW w:w="3576" w:type="dxa"/>
            <w:tcBorders>
              <w:top w:val="nil"/>
              <w:left w:val="nil"/>
              <w:bottom w:val="single" w:sz="4" w:space="0" w:color="auto"/>
              <w:right w:val="nil"/>
            </w:tcBorders>
            <w:shd w:val="clear" w:color="auto" w:fill="auto"/>
            <w:noWrap/>
            <w:vAlign w:val="bottom"/>
            <w:hideMark/>
          </w:tcPr>
          <w:p w:rsidR="00922CD5" w:rsidRPr="00B92118" w:rsidRDefault="00922CD5" w:rsidP="00135F6E">
            <w:pPr>
              <w:spacing w:line="276" w:lineRule="auto"/>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Log likelihood</w:t>
            </w:r>
          </w:p>
        </w:tc>
        <w:tc>
          <w:tcPr>
            <w:tcW w:w="1524" w:type="dxa"/>
            <w:tcBorders>
              <w:top w:val="nil"/>
              <w:left w:val="nil"/>
              <w:bottom w:val="single" w:sz="4" w:space="0" w:color="auto"/>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-330.835</w:t>
            </w:r>
          </w:p>
        </w:tc>
        <w:tc>
          <w:tcPr>
            <w:tcW w:w="1523" w:type="dxa"/>
            <w:tcBorders>
              <w:top w:val="nil"/>
              <w:left w:val="nil"/>
              <w:bottom w:val="single" w:sz="4" w:space="0" w:color="auto"/>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-330.840</w:t>
            </w:r>
          </w:p>
        </w:tc>
        <w:tc>
          <w:tcPr>
            <w:tcW w:w="1523" w:type="dxa"/>
            <w:tcBorders>
              <w:top w:val="nil"/>
              <w:left w:val="nil"/>
              <w:bottom w:val="single" w:sz="4" w:space="0" w:color="auto"/>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-330.539</w:t>
            </w:r>
          </w:p>
        </w:tc>
        <w:tc>
          <w:tcPr>
            <w:tcW w:w="1523" w:type="dxa"/>
            <w:tcBorders>
              <w:top w:val="nil"/>
              <w:left w:val="nil"/>
              <w:bottom w:val="single" w:sz="4" w:space="0" w:color="auto"/>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-328.507</w:t>
            </w:r>
          </w:p>
        </w:tc>
        <w:tc>
          <w:tcPr>
            <w:tcW w:w="1523" w:type="dxa"/>
            <w:tcBorders>
              <w:top w:val="nil"/>
              <w:left w:val="nil"/>
              <w:bottom w:val="single" w:sz="4" w:space="0" w:color="auto"/>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-329.609</w:t>
            </w:r>
          </w:p>
        </w:tc>
        <w:tc>
          <w:tcPr>
            <w:tcW w:w="1523" w:type="dxa"/>
            <w:tcBorders>
              <w:top w:val="nil"/>
              <w:left w:val="nil"/>
              <w:bottom w:val="single" w:sz="4" w:space="0" w:color="auto"/>
              <w:right w:val="nil"/>
            </w:tcBorders>
            <w:shd w:val="clear" w:color="auto" w:fill="auto"/>
            <w:noWrap/>
            <w:vAlign w:val="bottom"/>
            <w:hideMark/>
          </w:tcPr>
          <w:p w:rsidR="00922CD5" w:rsidRPr="00B92118" w:rsidRDefault="00922CD5" w:rsidP="00135F6E">
            <w:pPr>
              <w:spacing w:line="276" w:lineRule="auto"/>
              <w:jc w:val="right"/>
              <w:rPr>
                <w:rFonts w:ascii="Times New Roman" w:eastAsia="Times New Roman" w:hAnsi="Times New Roman" w:cs="Times New Roman"/>
                <w:sz w:val="22"/>
                <w:szCs w:val="22"/>
              </w:rPr>
            </w:pPr>
            <w:r w:rsidRPr="00B92118">
              <w:rPr>
                <w:rFonts w:ascii="Times New Roman" w:eastAsia="Times New Roman" w:hAnsi="Times New Roman" w:cs="Times New Roman"/>
                <w:sz w:val="22"/>
                <w:szCs w:val="22"/>
              </w:rPr>
              <w:t>-330.52</w:t>
            </w:r>
          </w:p>
        </w:tc>
      </w:tr>
    </w:tbl>
    <w:p w:rsidR="00922CD5" w:rsidRPr="008E5EFD" w:rsidRDefault="00922CD5" w:rsidP="00922CD5">
      <w:pPr>
        <w:tabs>
          <w:tab w:val="left" w:pos="990"/>
        </w:tabs>
        <w:rPr>
          <w:rFonts w:ascii="Times New Roman" w:hAnsi="Times New Roman" w:cs="Times New Roman"/>
          <w:sz w:val="22"/>
          <w:szCs w:val="22"/>
        </w:rPr>
      </w:pPr>
      <w:proofErr w:type="gramStart"/>
      <w:r w:rsidRPr="00FD5CA5">
        <w:rPr>
          <w:rFonts w:ascii="Times New Roman" w:hAnsi="Times New Roman" w:cs="Times New Roman"/>
          <w:sz w:val="20"/>
          <w:szCs w:val="20"/>
          <w:vertAlign w:val="superscript"/>
        </w:rPr>
        <w:t>a</w:t>
      </w:r>
      <w:proofErr w:type="gramEnd"/>
      <w:r>
        <w:rPr>
          <w:rFonts w:ascii="Times New Roman" w:hAnsi="Times New Roman" w:cs="Times New Roman"/>
          <w:sz w:val="20"/>
          <w:szCs w:val="20"/>
        </w:rPr>
        <w:t xml:space="preserve"> Hazard ratios reported. S</w:t>
      </w:r>
      <w:r w:rsidRPr="00FD5CA5">
        <w:rPr>
          <w:rFonts w:ascii="Times New Roman" w:hAnsi="Times New Roman" w:cs="Times New Roman"/>
          <w:sz w:val="20"/>
          <w:szCs w:val="20"/>
        </w:rPr>
        <w:t>tandard errors are in parentheses.</w:t>
      </w:r>
      <w:r>
        <w:rPr>
          <w:rFonts w:ascii="Times New Roman" w:hAnsi="Times New Roman" w:cs="Times New Roman"/>
          <w:sz w:val="20"/>
          <w:szCs w:val="20"/>
        </w:rPr>
        <w:t xml:space="preserve"> </w:t>
      </w:r>
      <w:r w:rsidRPr="008E5EFD">
        <w:rPr>
          <w:rFonts w:ascii="Times New Roman" w:hAnsi="Times New Roman" w:cs="Times New Roman"/>
          <w:sz w:val="20"/>
          <w:szCs w:val="22"/>
        </w:rPr>
        <w:t>Significance levels denoted by ***=p&lt;0.01, **=p&lt;0.05, and *=p&lt;0.1.</w:t>
      </w:r>
    </w:p>
    <w:p w:rsidR="00922CD5" w:rsidRPr="00FD5CA5" w:rsidRDefault="00922CD5" w:rsidP="00922CD5">
      <w:pPr>
        <w:tabs>
          <w:tab w:val="left" w:pos="990"/>
        </w:tabs>
        <w:rPr>
          <w:rFonts w:ascii="Times New Roman" w:hAnsi="Times New Roman" w:cs="Times New Roman"/>
          <w:sz w:val="20"/>
          <w:szCs w:val="20"/>
        </w:rPr>
      </w:pPr>
      <w:proofErr w:type="gramStart"/>
      <w:r w:rsidRPr="00FD5CA5">
        <w:rPr>
          <w:rFonts w:ascii="Times New Roman" w:hAnsi="Times New Roman" w:cs="Times New Roman"/>
          <w:sz w:val="20"/>
          <w:szCs w:val="20"/>
          <w:vertAlign w:val="superscript"/>
        </w:rPr>
        <w:t>b</w:t>
      </w:r>
      <w:proofErr w:type="gramEnd"/>
      <w:r w:rsidRPr="00FD5CA5">
        <w:rPr>
          <w:rFonts w:ascii="Times New Roman" w:hAnsi="Times New Roman" w:cs="Times New Roman"/>
          <w:sz w:val="20"/>
          <w:szCs w:val="20"/>
        </w:rPr>
        <w:t xml:space="preserve"> Omitted category is </w:t>
      </w:r>
      <w:r>
        <w:rPr>
          <w:rFonts w:ascii="Times New Roman" w:hAnsi="Times New Roman" w:cs="Times New Roman"/>
          <w:sz w:val="20"/>
          <w:szCs w:val="20"/>
        </w:rPr>
        <w:t>high</w:t>
      </w:r>
      <w:r w:rsidRPr="00FD5CA5">
        <w:rPr>
          <w:rFonts w:ascii="Times New Roman" w:hAnsi="Times New Roman" w:cs="Times New Roman"/>
          <w:sz w:val="20"/>
          <w:szCs w:val="20"/>
        </w:rPr>
        <w:t xml:space="preserve"> income.</w:t>
      </w:r>
    </w:p>
    <w:p w:rsidR="00922CD5" w:rsidRPr="00FD5CA5" w:rsidRDefault="00922CD5" w:rsidP="00922CD5">
      <w:pPr>
        <w:pStyle w:val="NoSpacing"/>
        <w:jc w:val="both"/>
        <w:rPr>
          <w:rFonts w:ascii="Times New Roman" w:hAnsi="Times New Roman" w:cs="Times New Roman"/>
          <w:sz w:val="20"/>
          <w:szCs w:val="20"/>
        </w:rPr>
      </w:pPr>
    </w:p>
    <w:p w:rsidR="003C6EC0" w:rsidRDefault="003C6EC0"/>
    <w:sectPr w:rsidR="003C6EC0" w:rsidSect="007F08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E5175"/>
    <w:multiLevelType w:val="hybridMultilevel"/>
    <w:tmpl w:val="B2DE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CD5"/>
    <w:rsid w:val="000C73B7"/>
    <w:rsid w:val="003C6EC0"/>
    <w:rsid w:val="00922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B43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CD5"/>
  </w:style>
  <w:style w:type="paragraph" w:styleId="ListParagraph">
    <w:name w:val="List Paragraph"/>
    <w:basedOn w:val="Normal"/>
    <w:uiPriority w:val="34"/>
    <w:qFormat/>
    <w:rsid w:val="00922CD5"/>
    <w:pPr>
      <w:ind w:left="720"/>
      <w:contextualSpacing/>
    </w:pPr>
  </w:style>
  <w:style w:type="paragraph" w:styleId="BalloonText">
    <w:name w:val="Balloon Text"/>
    <w:basedOn w:val="Normal"/>
    <w:link w:val="BalloonTextChar"/>
    <w:uiPriority w:val="99"/>
    <w:semiHidden/>
    <w:unhideWhenUsed/>
    <w:rsid w:val="00922C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2C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C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2CD5"/>
  </w:style>
  <w:style w:type="paragraph" w:styleId="ListParagraph">
    <w:name w:val="List Paragraph"/>
    <w:basedOn w:val="Normal"/>
    <w:uiPriority w:val="34"/>
    <w:qFormat/>
    <w:rsid w:val="00922CD5"/>
    <w:pPr>
      <w:ind w:left="720"/>
      <w:contextualSpacing/>
    </w:pPr>
  </w:style>
  <w:style w:type="paragraph" w:styleId="BalloonText">
    <w:name w:val="Balloon Text"/>
    <w:basedOn w:val="Normal"/>
    <w:link w:val="BalloonTextChar"/>
    <w:uiPriority w:val="99"/>
    <w:semiHidden/>
    <w:unhideWhenUsed/>
    <w:rsid w:val="00922C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2C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image" Target="media/image1.emf"/><Relationship Id="rId10"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ntduncan:Dropbox:Articles:NTD:PS%20and%20Emigration:UNPopPolicy_GovernmentViewsAndPolici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ntduncan:Dropbox:Articles:NTD:PS%20and%20Emigration:UNPopPolicy_GovernmentViewsAndPolici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ntduncan:Dropbox:Articles:NTD:PS%20and%20Emigration:UNPopPolicy_GovernmentViewsAndPolici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9077497202613"/>
          <c:y val="0.0618164526866381"/>
          <c:w val="0.609584038215695"/>
          <c:h val="0.841496774386796"/>
        </c:manualLayout>
      </c:layout>
      <c:barChart>
        <c:barDir val="col"/>
        <c:grouping val="clustered"/>
        <c:varyColors val="0"/>
        <c:ser>
          <c:idx val="0"/>
          <c:order val="0"/>
          <c:tx>
            <c:strRef>
              <c:f>charts!$A$3</c:f>
              <c:strCache>
                <c:ptCount val="1"/>
                <c:pt idx="0">
                  <c:v>no intervention</c:v>
                </c:pt>
              </c:strCache>
            </c:strRef>
          </c:tx>
          <c:invertIfNegative val="0"/>
          <c:cat>
            <c:numRef>
              <c:f>charts!$B$2:$J$2</c:f>
              <c:numCache>
                <c:formatCode>General</c:formatCode>
                <c:ptCount val="9"/>
                <c:pt idx="0">
                  <c:v>1986.0</c:v>
                </c:pt>
                <c:pt idx="1">
                  <c:v>1996.0</c:v>
                </c:pt>
                <c:pt idx="2">
                  <c:v>2001.0</c:v>
                </c:pt>
                <c:pt idx="3">
                  <c:v>2003.0</c:v>
                </c:pt>
                <c:pt idx="4">
                  <c:v>2005.0</c:v>
                </c:pt>
                <c:pt idx="5">
                  <c:v>2007.0</c:v>
                </c:pt>
                <c:pt idx="6">
                  <c:v>2009.0</c:v>
                </c:pt>
                <c:pt idx="7">
                  <c:v>2011.0</c:v>
                </c:pt>
                <c:pt idx="8">
                  <c:v>2013.0</c:v>
                </c:pt>
              </c:numCache>
            </c:numRef>
          </c:cat>
          <c:val>
            <c:numRef>
              <c:f>charts!$B$3:$J$3</c:f>
              <c:numCache>
                <c:formatCode>General</c:formatCode>
                <c:ptCount val="9"/>
                <c:pt idx="1">
                  <c:v>104.0</c:v>
                </c:pt>
                <c:pt idx="2">
                  <c:v>115.0</c:v>
                </c:pt>
                <c:pt idx="3">
                  <c:v>110.0</c:v>
                </c:pt>
                <c:pt idx="4">
                  <c:v>107.0</c:v>
                </c:pt>
                <c:pt idx="5">
                  <c:v>103.0</c:v>
                </c:pt>
                <c:pt idx="6">
                  <c:v>101.0</c:v>
                </c:pt>
                <c:pt idx="7">
                  <c:v>87.0</c:v>
                </c:pt>
                <c:pt idx="8">
                  <c:v>79.0</c:v>
                </c:pt>
              </c:numCache>
            </c:numRef>
          </c:val>
        </c:ser>
        <c:ser>
          <c:idx val="1"/>
          <c:order val="1"/>
          <c:tx>
            <c:strRef>
              <c:f>charts!$A$4</c:f>
              <c:strCache>
                <c:ptCount val="1"/>
                <c:pt idx="0">
                  <c:v>lower</c:v>
                </c:pt>
              </c:strCache>
            </c:strRef>
          </c:tx>
          <c:invertIfNegative val="0"/>
          <c:cat>
            <c:numRef>
              <c:f>charts!$B$2:$J$2</c:f>
              <c:numCache>
                <c:formatCode>General</c:formatCode>
                <c:ptCount val="9"/>
                <c:pt idx="0">
                  <c:v>1986.0</c:v>
                </c:pt>
                <c:pt idx="1">
                  <c:v>1996.0</c:v>
                </c:pt>
                <c:pt idx="2">
                  <c:v>2001.0</c:v>
                </c:pt>
                <c:pt idx="3">
                  <c:v>2003.0</c:v>
                </c:pt>
                <c:pt idx="4">
                  <c:v>2005.0</c:v>
                </c:pt>
                <c:pt idx="5">
                  <c:v>2007.0</c:v>
                </c:pt>
                <c:pt idx="6">
                  <c:v>2009.0</c:v>
                </c:pt>
                <c:pt idx="7">
                  <c:v>2011.0</c:v>
                </c:pt>
                <c:pt idx="8">
                  <c:v>2013.0</c:v>
                </c:pt>
              </c:numCache>
            </c:numRef>
          </c:cat>
          <c:val>
            <c:numRef>
              <c:f>charts!$B$4:$J$4</c:f>
              <c:numCache>
                <c:formatCode>General</c:formatCode>
                <c:ptCount val="9"/>
                <c:pt idx="0">
                  <c:v>36.0</c:v>
                </c:pt>
                <c:pt idx="1">
                  <c:v>44.0</c:v>
                </c:pt>
                <c:pt idx="2">
                  <c:v>41.0</c:v>
                </c:pt>
                <c:pt idx="3">
                  <c:v>45.0</c:v>
                </c:pt>
                <c:pt idx="4">
                  <c:v>43.0</c:v>
                </c:pt>
                <c:pt idx="5">
                  <c:v>40.0</c:v>
                </c:pt>
                <c:pt idx="6">
                  <c:v>42.0</c:v>
                </c:pt>
                <c:pt idx="7">
                  <c:v>45.0</c:v>
                </c:pt>
                <c:pt idx="8">
                  <c:v>49.0</c:v>
                </c:pt>
              </c:numCache>
            </c:numRef>
          </c:val>
        </c:ser>
        <c:ser>
          <c:idx val="2"/>
          <c:order val="2"/>
          <c:tx>
            <c:strRef>
              <c:f>charts!$A$5</c:f>
              <c:strCache>
                <c:ptCount val="1"/>
                <c:pt idx="0">
                  <c:v>maintain</c:v>
                </c:pt>
              </c:strCache>
            </c:strRef>
          </c:tx>
          <c:invertIfNegative val="0"/>
          <c:cat>
            <c:numRef>
              <c:f>charts!$B$2:$J$2</c:f>
              <c:numCache>
                <c:formatCode>General</c:formatCode>
                <c:ptCount val="9"/>
                <c:pt idx="0">
                  <c:v>1986.0</c:v>
                </c:pt>
                <c:pt idx="1">
                  <c:v>1996.0</c:v>
                </c:pt>
                <c:pt idx="2">
                  <c:v>2001.0</c:v>
                </c:pt>
                <c:pt idx="3">
                  <c:v>2003.0</c:v>
                </c:pt>
                <c:pt idx="4">
                  <c:v>2005.0</c:v>
                </c:pt>
                <c:pt idx="5">
                  <c:v>2007.0</c:v>
                </c:pt>
                <c:pt idx="6">
                  <c:v>2009.0</c:v>
                </c:pt>
                <c:pt idx="7">
                  <c:v>2011.0</c:v>
                </c:pt>
                <c:pt idx="8">
                  <c:v>2013.0</c:v>
                </c:pt>
              </c:numCache>
            </c:numRef>
          </c:cat>
          <c:val>
            <c:numRef>
              <c:f>charts!$B$5:$J$5</c:f>
              <c:numCache>
                <c:formatCode>General</c:formatCode>
                <c:ptCount val="9"/>
                <c:pt idx="0">
                  <c:v>120.0</c:v>
                </c:pt>
                <c:pt idx="1">
                  <c:v>38.0</c:v>
                </c:pt>
                <c:pt idx="2">
                  <c:v>27.0</c:v>
                </c:pt>
                <c:pt idx="3">
                  <c:v>27.0</c:v>
                </c:pt>
                <c:pt idx="4">
                  <c:v>32.0</c:v>
                </c:pt>
                <c:pt idx="5">
                  <c:v>37.0</c:v>
                </c:pt>
                <c:pt idx="6">
                  <c:v>40.0</c:v>
                </c:pt>
                <c:pt idx="7">
                  <c:v>43.0</c:v>
                </c:pt>
                <c:pt idx="8">
                  <c:v>47.0</c:v>
                </c:pt>
              </c:numCache>
            </c:numRef>
          </c:val>
        </c:ser>
        <c:ser>
          <c:idx val="3"/>
          <c:order val="3"/>
          <c:tx>
            <c:strRef>
              <c:f>charts!$A$6</c:f>
              <c:strCache>
                <c:ptCount val="1"/>
                <c:pt idx="0">
                  <c:v>raise</c:v>
                </c:pt>
              </c:strCache>
            </c:strRef>
          </c:tx>
          <c:invertIfNegative val="0"/>
          <c:cat>
            <c:numRef>
              <c:f>charts!$B$2:$J$2</c:f>
              <c:numCache>
                <c:formatCode>General</c:formatCode>
                <c:ptCount val="9"/>
                <c:pt idx="0">
                  <c:v>1986.0</c:v>
                </c:pt>
                <c:pt idx="1">
                  <c:v>1996.0</c:v>
                </c:pt>
                <c:pt idx="2">
                  <c:v>2001.0</c:v>
                </c:pt>
                <c:pt idx="3">
                  <c:v>2003.0</c:v>
                </c:pt>
                <c:pt idx="4">
                  <c:v>2005.0</c:v>
                </c:pt>
                <c:pt idx="5">
                  <c:v>2007.0</c:v>
                </c:pt>
                <c:pt idx="6">
                  <c:v>2009.0</c:v>
                </c:pt>
                <c:pt idx="7">
                  <c:v>2011.0</c:v>
                </c:pt>
                <c:pt idx="8">
                  <c:v>2013.0</c:v>
                </c:pt>
              </c:numCache>
            </c:numRef>
          </c:cat>
          <c:val>
            <c:numRef>
              <c:f>charts!$B$6:$J$6</c:f>
              <c:numCache>
                <c:formatCode>General</c:formatCode>
                <c:ptCount val="9"/>
                <c:pt idx="0">
                  <c:v>8.0</c:v>
                </c:pt>
                <c:pt idx="1">
                  <c:v>6.0</c:v>
                </c:pt>
                <c:pt idx="2">
                  <c:v>9.0</c:v>
                </c:pt>
                <c:pt idx="3">
                  <c:v>11.0</c:v>
                </c:pt>
                <c:pt idx="4">
                  <c:v>11.0</c:v>
                </c:pt>
                <c:pt idx="5">
                  <c:v>13.0</c:v>
                </c:pt>
                <c:pt idx="6">
                  <c:v>11.0</c:v>
                </c:pt>
                <c:pt idx="7">
                  <c:v>18.0</c:v>
                </c:pt>
                <c:pt idx="8">
                  <c:v>20.0</c:v>
                </c:pt>
              </c:numCache>
            </c:numRef>
          </c:val>
        </c:ser>
        <c:dLbls>
          <c:showLegendKey val="0"/>
          <c:showVal val="0"/>
          <c:showCatName val="0"/>
          <c:showSerName val="0"/>
          <c:showPercent val="0"/>
          <c:showBubbleSize val="0"/>
        </c:dLbls>
        <c:gapWidth val="150"/>
        <c:axId val="2127377192"/>
        <c:axId val="2127380328"/>
      </c:barChart>
      <c:catAx>
        <c:axId val="2127377192"/>
        <c:scaling>
          <c:orientation val="minMax"/>
        </c:scaling>
        <c:delete val="0"/>
        <c:axPos val="b"/>
        <c:numFmt formatCode="General" sourceLinked="1"/>
        <c:majorTickMark val="none"/>
        <c:minorTickMark val="none"/>
        <c:tickLblPos val="nextTo"/>
        <c:crossAx val="2127380328"/>
        <c:crosses val="autoZero"/>
        <c:auto val="1"/>
        <c:lblAlgn val="ctr"/>
        <c:lblOffset val="100"/>
        <c:noMultiLvlLbl val="0"/>
      </c:catAx>
      <c:valAx>
        <c:axId val="2127380328"/>
        <c:scaling>
          <c:orientation val="minMax"/>
        </c:scaling>
        <c:delete val="0"/>
        <c:axPos val="l"/>
        <c:majorGridlines/>
        <c:title>
          <c:tx>
            <c:rich>
              <a:bodyPr rot="-5400000" vert="horz"/>
              <a:lstStyle/>
              <a:p>
                <a:pPr>
                  <a:defRPr b="0"/>
                </a:pPr>
                <a:r>
                  <a:rPr lang="en-US" b="0"/>
                  <a:t>Number of countries</a:t>
                </a:r>
              </a:p>
            </c:rich>
          </c:tx>
          <c:layout/>
          <c:overlay val="0"/>
        </c:title>
        <c:numFmt formatCode="General" sourceLinked="1"/>
        <c:majorTickMark val="none"/>
        <c:minorTickMark val="none"/>
        <c:tickLblPos val="nextTo"/>
        <c:crossAx val="2127377192"/>
        <c:crosses val="autoZero"/>
        <c:crossBetween val="between"/>
      </c:valAx>
    </c:plotArea>
    <c:legend>
      <c:legendPos val="r"/>
      <c:layout>
        <c:manualLayout>
          <c:xMode val="edge"/>
          <c:yMode val="edge"/>
          <c:x val="0.771158723269828"/>
          <c:y val="0.294553712169716"/>
          <c:w val="0.213843151495827"/>
          <c:h val="0.37285168169955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b="0"/>
            </a:pPr>
            <a:r>
              <a:rPr lang="en-US" sz="1200" b="0">
                <a:latin typeface="Times New Roman"/>
                <a:cs typeface="Times New Roman"/>
              </a:rPr>
              <a:t>Developed Countries</a:t>
            </a:r>
            <a:r>
              <a:rPr lang="en-US" sz="1200" b="0" baseline="30000">
                <a:latin typeface="Times New Roman"/>
                <a:cs typeface="Times New Roman"/>
              </a:rPr>
              <a:t>a</a:t>
            </a:r>
          </a:p>
        </c:rich>
      </c:tx>
      <c:layout/>
      <c:overlay val="0"/>
    </c:title>
    <c:autoTitleDeleted val="0"/>
    <c:plotArea>
      <c:layout/>
      <c:barChart>
        <c:barDir val="col"/>
        <c:grouping val="stacked"/>
        <c:varyColors val="0"/>
        <c:ser>
          <c:idx val="0"/>
          <c:order val="0"/>
          <c:tx>
            <c:strRef>
              <c:f>charts!$A$48</c:f>
              <c:strCache>
                <c:ptCount val="1"/>
                <c:pt idx="0">
                  <c:v>Satisfactory</c:v>
                </c:pt>
              </c:strCache>
            </c:strRef>
          </c:tx>
          <c:invertIfNegative val="0"/>
          <c:cat>
            <c:numRef>
              <c:f>charts!$B$47:$I$47</c:f>
              <c:numCache>
                <c:formatCode>General</c:formatCode>
                <c:ptCount val="8"/>
                <c:pt idx="0">
                  <c:v>1986.0</c:v>
                </c:pt>
                <c:pt idx="1">
                  <c:v>1996.0</c:v>
                </c:pt>
                <c:pt idx="2">
                  <c:v>2001.0</c:v>
                </c:pt>
                <c:pt idx="3">
                  <c:v>2003.0</c:v>
                </c:pt>
                <c:pt idx="4">
                  <c:v>2005.0</c:v>
                </c:pt>
                <c:pt idx="5">
                  <c:v>2007.0</c:v>
                </c:pt>
                <c:pt idx="6">
                  <c:v>2009.0</c:v>
                </c:pt>
                <c:pt idx="7">
                  <c:v>2011.0</c:v>
                </c:pt>
              </c:numCache>
            </c:numRef>
          </c:cat>
          <c:val>
            <c:numRef>
              <c:f>charts!$B$48:$I$48</c:f>
              <c:numCache>
                <c:formatCode>General</c:formatCode>
                <c:ptCount val="8"/>
                <c:pt idx="0">
                  <c:v>29.0</c:v>
                </c:pt>
                <c:pt idx="1">
                  <c:v>35.0</c:v>
                </c:pt>
                <c:pt idx="2">
                  <c:v>38.0</c:v>
                </c:pt>
                <c:pt idx="3">
                  <c:v>36.0</c:v>
                </c:pt>
                <c:pt idx="4">
                  <c:v>39.0</c:v>
                </c:pt>
                <c:pt idx="5">
                  <c:v>41.0</c:v>
                </c:pt>
                <c:pt idx="6">
                  <c:v>39.0</c:v>
                </c:pt>
                <c:pt idx="7">
                  <c:v>36.0</c:v>
                </c:pt>
              </c:numCache>
            </c:numRef>
          </c:val>
        </c:ser>
        <c:ser>
          <c:idx val="1"/>
          <c:order val="1"/>
          <c:tx>
            <c:strRef>
              <c:f>charts!$A$49</c:f>
              <c:strCache>
                <c:ptCount val="1"/>
                <c:pt idx="0">
                  <c:v>Too high</c:v>
                </c:pt>
              </c:strCache>
            </c:strRef>
          </c:tx>
          <c:invertIfNegative val="0"/>
          <c:cat>
            <c:numRef>
              <c:f>charts!$B$47:$I$47</c:f>
              <c:numCache>
                <c:formatCode>General</c:formatCode>
                <c:ptCount val="8"/>
                <c:pt idx="0">
                  <c:v>1986.0</c:v>
                </c:pt>
                <c:pt idx="1">
                  <c:v>1996.0</c:v>
                </c:pt>
                <c:pt idx="2">
                  <c:v>2001.0</c:v>
                </c:pt>
                <c:pt idx="3">
                  <c:v>2003.0</c:v>
                </c:pt>
                <c:pt idx="4">
                  <c:v>2005.0</c:v>
                </c:pt>
                <c:pt idx="5">
                  <c:v>2007.0</c:v>
                </c:pt>
                <c:pt idx="6">
                  <c:v>2009.0</c:v>
                </c:pt>
                <c:pt idx="7">
                  <c:v>2011.0</c:v>
                </c:pt>
              </c:numCache>
            </c:numRef>
          </c:cat>
          <c:val>
            <c:numRef>
              <c:f>charts!$B$49:$I$49</c:f>
              <c:numCache>
                <c:formatCode>General</c:formatCode>
                <c:ptCount val="8"/>
                <c:pt idx="0">
                  <c:v>3.0</c:v>
                </c:pt>
                <c:pt idx="1">
                  <c:v>11.0</c:v>
                </c:pt>
                <c:pt idx="2">
                  <c:v>9.0</c:v>
                </c:pt>
                <c:pt idx="3">
                  <c:v>11.0</c:v>
                </c:pt>
                <c:pt idx="4">
                  <c:v>8.0</c:v>
                </c:pt>
                <c:pt idx="5">
                  <c:v>8.0</c:v>
                </c:pt>
                <c:pt idx="6">
                  <c:v>10.0</c:v>
                </c:pt>
                <c:pt idx="7">
                  <c:v>13.0</c:v>
                </c:pt>
              </c:numCache>
            </c:numRef>
          </c:val>
        </c:ser>
        <c:ser>
          <c:idx val="2"/>
          <c:order val="2"/>
          <c:tx>
            <c:strRef>
              <c:f>charts!$A$50</c:f>
              <c:strCache>
                <c:ptCount val="1"/>
                <c:pt idx="0">
                  <c:v>Too low</c:v>
                </c:pt>
              </c:strCache>
            </c:strRef>
          </c:tx>
          <c:invertIfNegative val="0"/>
          <c:cat>
            <c:numRef>
              <c:f>charts!$B$47:$I$47</c:f>
              <c:numCache>
                <c:formatCode>General</c:formatCode>
                <c:ptCount val="8"/>
                <c:pt idx="0">
                  <c:v>1986.0</c:v>
                </c:pt>
                <c:pt idx="1">
                  <c:v>1996.0</c:v>
                </c:pt>
                <c:pt idx="2">
                  <c:v>2001.0</c:v>
                </c:pt>
                <c:pt idx="3">
                  <c:v>2003.0</c:v>
                </c:pt>
                <c:pt idx="4">
                  <c:v>2005.0</c:v>
                </c:pt>
                <c:pt idx="5">
                  <c:v>2007.0</c:v>
                </c:pt>
                <c:pt idx="6">
                  <c:v>2009.0</c:v>
                </c:pt>
                <c:pt idx="7">
                  <c:v>2011.0</c:v>
                </c:pt>
              </c:numCache>
            </c:numRef>
          </c:cat>
          <c:val>
            <c:numRef>
              <c:f>charts!$B$50:$I$50</c:f>
              <c:numCache>
                <c:formatCode>General</c:formatCode>
                <c:ptCount val="8"/>
                <c:pt idx="0">
                  <c:v>2.0</c:v>
                </c:pt>
                <c:pt idx="1">
                  <c:v>1.0</c:v>
                </c:pt>
              </c:numCache>
            </c:numRef>
          </c:val>
        </c:ser>
        <c:dLbls>
          <c:showLegendKey val="0"/>
          <c:showVal val="0"/>
          <c:showCatName val="0"/>
          <c:showSerName val="0"/>
          <c:showPercent val="0"/>
          <c:showBubbleSize val="0"/>
        </c:dLbls>
        <c:gapWidth val="55"/>
        <c:overlap val="100"/>
        <c:axId val="-2099567608"/>
        <c:axId val="-2114087928"/>
      </c:barChart>
      <c:catAx>
        <c:axId val="-2099567608"/>
        <c:scaling>
          <c:orientation val="minMax"/>
        </c:scaling>
        <c:delete val="0"/>
        <c:axPos val="b"/>
        <c:numFmt formatCode="General" sourceLinked="1"/>
        <c:majorTickMark val="none"/>
        <c:minorTickMark val="none"/>
        <c:tickLblPos val="nextTo"/>
        <c:crossAx val="-2114087928"/>
        <c:crosses val="autoZero"/>
        <c:auto val="1"/>
        <c:lblAlgn val="ctr"/>
        <c:lblOffset val="100"/>
        <c:noMultiLvlLbl val="0"/>
      </c:catAx>
      <c:valAx>
        <c:axId val="-2114087928"/>
        <c:scaling>
          <c:orientation val="minMax"/>
        </c:scaling>
        <c:delete val="0"/>
        <c:axPos val="l"/>
        <c:majorGridlines/>
        <c:title>
          <c:tx>
            <c:rich>
              <a:bodyPr rot="-5400000" vert="horz"/>
              <a:lstStyle/>
              <a:p>
                <a:pPr>
                  <a:defRPr b="0"/>
                </a:pPr>
                <a:r>
                  <a:rPr lang="en-US" b="0"/>
                  <a:t>Number of countries</a:t>
                </a:r>
              </a:p>
            </c:rich>
          </c:tx>
          <c:layout/>
          <c:overlay val="0"/>
        </c:title>
        <c:numFmt formatCode="General" sourceLinked="1"/>
        <c:majorTickMark val="none"/>
        <c:minorTickMark val="none"/>
        <c:tickLblPos val="nextTo"/>
        <c:crossAx val="-209956760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b="0"/>
            </a:pPr>
            <a:r>
              <a:rPr lang="en-US" sz="1200" b="0">
                <a:latin typeface="Times New Roman"/>
                <a:cs typeface="Times New Roman"/>
              </a:rPr>
              <a:t>Developing Countries</a:t>
            </a:r>
            <a:r>
              <a:rPr lang="en-US" sz="1200" b="0" baseline="30000">
                <a:latin typeface="Times New Roman"/>
                <a:cs typeface="Times New Roman"/>
              </a:rPr>
              <a:t>b</a:t>
            </a:r>
          </a:p>
        </c:rich>
      </c:tx>
      <c:layout/>
      <c:overlay val="0"/>
    </c:title>
    <c:autoTitleDeleted val="0"/>
    <c:plotArea>
      <c:layout/>
      <c:barChart>
        <c:barDir val="col"/>
        <c:grouping val="stacked"/>
        <c:varyColors val="0"/>
        <c:ser>
          <c:idx val="0"/>
          <c:order val="0"/>
          <c:tx>
            <c:strRef>
              <c:f>charts!$A$85</c:f>
              <c:strCache>
                <c:ptCount val="1"/>
                <c:pt idx="0">
                  <c:v>Satisfactory</c:v>
                </c:pt>
              </c:strCache>
            </c:strRef>
          </c:tx>
          <c:invertIfNegative val="0"/>
          <c:cat>
            <c:numRef>
              <c:f>charts!$B$84:$I$84</c:f>
              <c:numCache>
                <c:formatCode>General</c:formatCode>
                <c:ptCount val="8"/>
                <c:pt idx="0">
                  <c:v>1986.0</c:v>
                </c:pt>
                <c:pt idx="1">
                  <c:v>1996.0</c:v>
                </c:pt>
                <c:pt idx="2">
                  <c:v>2001.0</c:v>
                </c:pt>
                <c:pt idx="3">
                  <c:v>2003.0</c:v>
                </c:pt>
                <c:pt idx="4">
                  <c:v>2005.0</c:v>
                </c:pt>
                <c:pt idx="5">
                  <c:v>2007.0</c:v>
                </c:pt>
                <c:pt idx="6">
                  <c:v>2009.0</c:v>
                </c:pt>
                <c:pt idx="7">
                  <c:v>2011.0</c:v>
                </c:pt>
              </c:numCache>
            </c:numRef>
          </c:cat>
          <c:val>
            <c:numRef>
              <c:f>charts!$B$85:$I$85</c:f>
              <c:numCache>
                <c:formatCode>General</c:formatCode>
                <c:ptCount val="8"/>
                <c:pt idx="0">
                  <c:v>94.0</c:v>
                </c:pt>
                <c:pt idx="1">
                  <c:v>98.0</c:v>
                </c:pt>
                <c:pt idx="2">
                  <c:v>104.0</c:v>
                </c:pt>
                <c:pt idx="3">
                  <c:v>106.0</c:v>
                </c:pt>
                <c:pt idx="4">
                  <c:v>92.0</c:v>
                </c:pt>
                <c:pt idx="5">
                  <c:v>89.0</c:v>
                </c:pt>
                <c:pt idx="6">
                  <c:v>91.0</c:v>
                </c:pt>
                <c:pt idx="7">
                  <c:v>80.0</c:v>
                </c:pt>
              </c:numCache>
            </c:numRef>
          </c:val>
        </c:ser>
        <c:ser>
          <c:idx val="1"/>
          <c:order val="1"/>
          <c:tx>
            <c:strRef>
              <c:f>charts!$A$86</c:f>
              <c:strCache>
                <c:ptCount val="1"/>
                <c:pt idx="0">
                  <c:v>Too high</c:v>
                </c:pt>
              </c:strCache>
            </c:strRef>
          </c:tx>
          <c:invertIfNegative val="0"/>
          <c:cat>
            <c:numRef>
              <c:f>charts!$B$84:$I$84</c:f>
              <c:numCache>
                <c:formatCode>General</c:formatCode>
                <c:ptCount val="8"/>
                <c:pt idx="0">
                  <c:v>1986.0</c:v>
                </c:pt>
                <c:pt idx="1">
                  <c:v>1996.0</c:v>
                </c:pt>
                <c:pt idx="2">
                  <c:v>2001.0</c:v>
                </c:pt>
                <c:pt idx="3">
                  <c:v>2003.0</c:v>
                </c:pt>
                <c:pt idx="4">
                  <c:v>2005.0</c:v>
                </c:pt>
                <c:pt idx="5">
                  <c:v>2007.0</c:v>
                </c:pt>
                <c:pt idx="6">
                  <c:v>2009.0</c:v>
                </c:pt>
                <c:pt idx="7">
                  <c:v>2011.0</c:v>
                </c:pt>
              </c:numCache>
            </c:numRef>
          </c:cat>
          <c:val>
            <c:numRef>
              <c:f>charts!$B$86:$I$86</c:f>
              <c:numCache>
                <c:formatCode>General</c:formatCode>
                <c:ptCount val="8"/>
                <c:pt idx="0">
                  <c:v>28.0</c:v>
                </c:pt>
                <c:pt idx="1">
                  <c:v>42.0</c:v>
                </c:pt>
                <c:pt idx="2">
                  <c:v>33.0</c:v>
                </c:pt>
                <c:pt idx="3">
                  <c:v>32.0</c:v>
                </c:pt>
                <c:pt idx="4">
                  <c:v>43.0</c:v>
                </c:pt>
                <c:pt idx="5">
                  <c:v>47.0</c:v>
                </c:pt>
                <c:pt idx="6">
                  <c:v>47.0</c:v>
                </c:pt>
                <c:pt idx="7">
                  <c:v>52.0</c:v>
                </c:pt>
              </c:numCache>
            </c:numRef>
          </c:val>
        </c:ser>
        <c:ser>
          <c:idx val="2"/>
          <c:order val="2"/>
          <c:tx>
            <c:strRef>
              <c:f>charts!$A$87</c:f>
              <c:strCache>
                <c:ptCount val="1"/>
                <c:pt idx="0">
                  <c:v>Too low</c:v>
                </c:pt>
              </c:strCache>
            </c:strRef>
          </c:tx>
          <c:invertIfNegative val="0"/>
          <c:cat>
            <c:numRef>
              <c:f>charts!$B$84:$I$84</c:f>
              <c:numCache>
                <c:formatCode>General</c:formatCode>
                <c:ptCount val="8"/>
                <c:pt idx="0">
                  <c:v>1986.0</c:v>
                </c:pt>
                <c:pt idx="1">
                  <c:v>1996.0</c:v>
                </c:pt>
                <c:pt idx="2">
                  <c:v>2001.0</c:v>
                </c:pt>
                <c:pt idx="3">
                  <c:v>2003.0</c:v>
                </c:pt>
                <c:pt idx="4">
                  <c:v>2005.0</c:v>
                </c:pt>
                <c:pt idx="5">
                  <c:v>2007.0</c:v>
                </c:pt>
                <c:pt idx="6">
                  <c:v>2009.0</c:v>
                </c:pt>
                <c:pt idx="7">
                  <c:v>2011.0</c:v>
                </c:pt>
              </c:numCache>
            </c:numRef>
          </c:cat>
          <c:val>
            <c:numRef>
              <c:f>charts!$B$87:$I$87</c:f>
              <c:numCache>
                <c:formatCode>General</c:formatCode>
                <c:ptCount val="8"/>
                <c:pt idx="0">
                  <c:v>7.0</c:v>
                </c:pt>
                <c:pt idx="1">
                  <c:v>4.0</c:v>
                </c:pt>
                <c:pt idx="2">
                  <c:v>7.0</c:v>
                </c:pt>
                <c:pt idx="3">
                  <c:v>7.0</c:v>
                </c:pt>
                <c:pt idx="4">
                  <c:v>10.0</c:v>
                </c:pt>
                <c:pt idx="5">
                  <c:v>9.0</c:v>
                </c:pt>
                <c:pt idx="6">
                  <c:v>7.0</c:v>
                </c:pt>
                <c:pt idx="7">
                  <c:v>14.0</c:v>
                </c:pt>
              </c:numCache>
            </c:numRef>
          </c:val>
        </c:ser>
        <c:dLbls>
          <c:showLegendKey val="0"/>
          <c:showVal val="0"/>
          <c:showCatName val="0"/>
          <c:showSerName val="0"/>
          <c:showPercent val="0"/>
          <c:showBubbleSize val="0"/>
        </c:dLbls>
        <c:gapWidth val="55"/>
        <c:overlap val="100"/>
        <c:axId val="-2100201384"/>
        <c:axId val="2124457400"/>
      </c:barChart>
      <c:catAx>
        <c:axId val="-2100201384"/>
        <c:scaling>
          <c:orientation val="minMax"/>
        </c:scaling>
        <c:delete val="0"/>
        <c:axPos val="b"/>
        <c:numFmt formatCode="General" sourceLinked="1"/>
        <c:majorTickMark val="none"/>
        <c:minorTickMark val="none"/>
        <c:tickLblPos val="nextTo"/>
        <c:crossAx val="2124457400"/>
        <c:crosses val="autoZero"/>
        <c:auto val="1"/>
        <c:lblAlgn val="ctr"/>
        <c:lblOffset val="100"/>
        <c:noMultiLvlLbl val="0"/>
      </c:catAx>
      <c:valAx>
        <c:axId val="2124457400"/>
        <c:scaling>
          <c:orientation val="minMax"/>
        </c:scaling>
        <c:delete val="0"/>
        <c:axPos val="l"/>
        <c:majorGridlines/>
        <c:title>
          <c:tx>
            <c:rich>
              <a:bodyPr rot="-5400000" vert="horz"/>
              <a:lstStyle/>
              <a:p>
                <a:pPr>
                  <a:defRPr b="0"/>
                </a:pPr>
                <a:r>
                  <a:rPr lang="en-US" b="0"/>
                  <a:t>Number of countries</a:t>
                </a:r>
              </a:p>
            </c:rich>
          </c:tx>
          <c:layout/>
          <c:overlay val="0"/>
        </c:title>
        <c:numFmt formatCode="General" sourceLinked="1"/>
        <c:majorTickMark val="none"/>
        <c:minorTickMark val="none"/>
        <c:tickLblPos val="nextTo"/>
        <c:crossAx val="-2100201384"/>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1028</Words>
  <Characters>5862</Characters>
  <Application>Microsoft Macintosh Word</Application>
  <DocSecurity>0</DocSecurity>
  <Lines>48</Lines>
  <Paragraphs>13</Paragraphs>
  <ScaleCrop>false</ScaleCrop>
  <Company>Purdue University</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Purdue University</dc:creator>
  <cp:keywords/>
  <dc:description/>
  <cp:lastModifiedBy>Purdue University</cp:lastModifiedBy>
  <cp:revision>1</cp:revision>
  <dcterms:created xsi:type="dcterms:W3CDTF">2015-12-05T16:34:00Z</dcterms:created>
  <dcterms:modified xsi:type="dcterms:W3CDTF">2015-12-05T16:36:00Z</dcterms:modified>
</cp:coreProperties>
</file>