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/>
          <w:color w:val="000000"/>
          <w:sz w:val="44"/>
        </w:rPr>
        <w:t>辰鉴一期产品需求文档</w:t>
      </w:r>
    </w:p>
    <w:p>
      <w:pPr>
        <w:spacing w:after="120"/>
      </w:pPr>
      <w:r>
        <w:rPr>
          <w:rFonts w:ascii="Arial" w:hAnsi="Arial" w:eastAsia="Microsoft YaHei"/>
          <w:b w:val="0"/>
          <w:color w:val="526366"/>
          <w:sz w:val="17"/>
        </w:rPr>
        <w:t>开发前功能范围  |  v0.3  |  2026年10月3日</w:t>
      </w:r>
    </w:p>
    <w:p>
      <w:pPr>
        <w:spacing w:after="100"/>
      </w:pPr>
      <w:r>
        <w:t>本文列出辰鉴一期希望提供的产品功能，供产品、设计、研发和运营团队共同理解产品范围。内容按使用角色与业务模块组织，聚焦用户流程和工作台能力。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000000"/>
          <w:sz w:val="26"/>
        </w:rPr>
        <w:t>1. 产品核心流程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2"/>
          <w:left w:val="single" w:sz="5" w:space="0" w:color="D9E1E2"/>
          <w:bottom w:val="single" w:sz="5" w:space="0" w:color="D9E1E2"/>
          <w:right w:val="single" w:sz="5" w:space="0" w:color="D9E1E2"/>
          <w:insideH w:val="single" w:sz="5" w:space="0" w:color="D9E1E2"/>
          <w:insideV w:val="single" w:sz="5" w:space="0" w:color="D9E1E2"/>
        </w:tblBorders>
      </w:tblPr>
      <w:tblGrid>
        <w:gridCol w:w="1512"/>
        <w:gridCol w:w="4637"/>
        <w:gridCol w:w="3888"/>
      </w:tblGrid>
      <w:tr>
        <w:trPr>
          <w:tblHeader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7585A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服务</w:t>
            </w:r>
          </w:p>
        </w:tc>
        <w:tc>
          <w:tcPr>
            <w:tcW w:type="dxa" w:w="46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7585A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用户旅程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7585A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交付规则</w:t>
            </w:r>
          </w:p>
        </w:tc>
      </w:tr>
      <w:t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人生说明书</w:t>
            </w:r>
          </w:p>
        </w:tc>
        <w:tc>
          <w:tcPr>
            <w:tcW w:type="dxa" w:w="46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完善资料与议题 → 提交申请 → 咨询师审核修正 → 最终审核 → 交付报告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AI 仅生成内部工作初稿；用户不能自助生成或查看未审核报告。</w:t>
            </w:r>
          </w:p>
        </w:tc>
      </w:tr>
      <w:t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决策日历</w:t>
            </w:r>
          </w:p>
        </w:tc>
        <w:tc>
          <w:tcPr>
            <w:tcW w:type="dxa" w:w="46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从已交付报告发起请求 → AI 生成 → 成功后自动交付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日历不能单独生成；生成不进入人工审核流程。</w:t>
            </w:r>
          </w:p>
        </w:tc>
      </w:tr>
    </w:tbl>
    <w:p>
      <w:pPr>
        <w:pStyle w:val="Heading1"/>
        <w:keepNext/>
      </w:pPr>
      <w:r>
        <w:rPr>
          <w:rFonts w:ascii="Arial" w:hAnsi="Arial" w:eastAsia="Microsoft YaHei"/>
          <w:b/>
          <w:color w:val="000000"/>
          <w:sz w:val="26"/>
        </w:rPr>
        <w:t>2. 产品角色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2"/>
          <w:left w:val="single" w:sz="5" w:space="0" w:color="D9E1E2"/>
          <w:bottom w:val="single" w:sz="5" w:space="0" w:color="D9E1E2"/>
          <w:right w:val="single" w:sz="5" w:space="0" w:color="D9E1E2"/>
          <w:insideH w:val="single" w:sz="5" w:space="0" w:color="D9E1E2"/>
          <w:insideV w:val="single" w:sz="5" w:space="0" w:color="D9E1E2"/>
        </w:tblBorders>
      </w:tblPr>
      <w:tblGrid>
        <w:gridCol w:w="1296"/>
        <w:gridCol w:w="2880"/>
        <w:gridCol w:w="5861"/>
      </w:tblGrid>
      <w:tr>
        <w:trPr>
          <w:tblHeader/>
        </w:trPr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7585A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7585A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主要目标</w:t>
            </w:r>
          </w:p>
        </w:tc>
        <w:tc>
          <w:tcPr>
            <w:tcW w:type="dxa" w:w="58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7585A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主要功能范围</w:t>
            </w:r>
          </w:p>
        </w:tc>
      </w:tr>
      <w:tr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用户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理解个人状态，并获得行动参考</w:t>
            </w:r>
          </w:p>
        </w:tc>
        <w:tc>
          <w:tcPr>
            <w:tcW w:type="dxa" w:w="58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管理资料、申请报告、查看进度与交付报告、请求日历并记录行动。</w:t>
            </w:r>
          </w:p>
        </w:tc>
      </w:tr>
      <w:tr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咨询师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完成报告的专业审阅与交付</w:t>
            </w:r>
          </w:p>
        </w:tc>
        <w:tc>
          <w:tcPr>
            <w:tcW w:type="dxa" w:w="58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处理报告申请、审核 AI 分析、修订内容、处理质量问题并交付。</w:t>
            </w:r>
          </w:p>
        </w:tc>
      </w:tr>
      <w:tr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管理员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保障服务顺利运营</w:t>
            </w:r>
          </w:p>
        </w:tc>
        <w:tc>
          <w:tcPr>
            <w:tcW w:type="dxa" w:w="58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管理成员和权限、分配申请、查看生成任务、处理运营问题并追溯操作。</w:t>
            </w:r>
          </w:p>
        </w:tc>
      </w:tr>
      <w:tr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AI 内容负责人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维护 AI 内容生产质量</w:t>
            </w:r>
          </w:p>
        </w:tc>
        <w:tc>
          <w:tcPr>
            <w:tcW w:type="dxa" w:w="58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管理工作流与 Skills、内容样例、测试运行和基础质量评估。</w:t>
            </w:r>
          </w:p>
        </w:tc>
      </w:tr>
    </w:tbl>
    <w:p>
      <w:pPr>
        <w:pStyle w:val="Heading1"/>
        <w:keepNext/>
      </w:pPr>
      <w:r>
        <w:rPr>
          <w:rFonts w:ascii="Arial" w:hAnsi="Arial" w:eastAsia="Microsoft YaHei"/>
          <w:b/>
          <w:color w:val="000000"/>
          <w:sz w:val="26"/>
        </w:rPr>
        <w:t>3. 用户端功能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2"/>
          <w:left w:val="single" w:sz="5" w:space="0" w:color="D9E1E2"/>
          <w:bottom w:val="single" w:sz="5" w:space="0" w:color="D9E1E2"/>
          <w:right w:val="single" w:sz="5" w:space="0" w:color="D9E1E2"/>
          <w:insideH w:val="single" w:sz="5" w:space="0" w:color="D9E1E2"/>
          <w:insideV w:val="single" w:sz="5" w:space="0" w:color="D9E1E2"/>
        </w:tblBorders>
      </w:tblPr>
      <w:tblGrid>
        <w:gridCol w:w="1944"/>
        <w:gridCol w:w="8093"/>
      </w:tblGrid>
      <w:tr>
        <w:trPr>
          <w:tblHeader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7585A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功能模块</w:t>
            </w:r>
          </w:p>
        </w:tc>
        <w:tc>
          <w:tcPr>
            <w:tcW w:type="dxa" w:w="80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7585A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用户可完成的操作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账号与个人资料</w:t>
            </w:r>
          </w:p>
        </w:tc>
        <w:tc>
          <w:tcPr>
            <w:tcW w:type="dxa" w:w="80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手机号注册登录、密码找回；创建和维护称呼、性别、出生日期、历法、出生时间准确度及选填个人画像。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首页与导航</w:t>
            </w:r>
          </w:p>
        </w:tc>
        <w:tc>
          <w:tcPr>
            <w:tcW w:type="dxa" w:w="80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展示人生说明书、决策日历和个人空间的入口，并按当前资料与服务状态提供下一步入口。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人生说明书申请</w:t>
            </w:r>
          </w:p>
        </w:tc>
        <w:tc>
          <w:tcPr>
            <w:tcW w:type="dxa" w:w="80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确认出生资料，填写本次困惑、关注领域、期望获得的帮助和背景信息；支持暂存草稿与提交前确认。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申请进度</w:t>
            </w:r>
          </w:p>
        </w:tc>
        <w:tc>
          <w:tcPr>
            <w:tcW w:type="dxa" w:w="80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查看受理、处理中、待补充、已交付等状态和处理说明；在允许的状态下补充资料或撤回申请。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报告阅读</w:t>
            </w:r>
          </w:p>
        </w:tc>
        <w:tc>
          <w:tcPr>
            <w:tcW w:type="dxa" w:w="80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阅读咨询师审核后的正式报告，沿着“你是谁、卡在哪、往哪去”查看个人特质、当前议题、可能的运行模式和行动方向，并回看历史报告。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决策日历生成</w:t>
            </w:r>
          </w:p>
        </w:tc>
        <w:tc>
          <w:tcPr>
            <w:tcW w:type="dxa" w:w="80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从已交付报告发起日历请求，选择或确认生成周期、关注主题和目标；查看处理中、成功或失败状态。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日历浏览</w:t>
            </w:r>
          </w:p>
        </w:tc>
        <w:tc>
          <w:tcPr>
            <w:tcW w:type="dxa" w:w="80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按月查看整体节奏，按日查看阶段提示、摘要、适合关注的事项和行动建议。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行动与决策记录</w:t>
            </w:r>
          </w:p>
        </w:tc>
        <w:tc>
          <w:tcPr>
            <w:tcW w:type="dxa" w:w="80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围绕日期新增个人行动或决策记录，填写备注并更新进展状态；查看和维护历史记录。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个人空间</w:t>
            </w:r>
          </w:p>
        </w:tc>
        <w:tc>
          <w:tcPr>
            <w:tcW w:type="dxa" w:w="80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集中查看报告、日历、申请进度、个人档案和账号设置。</w:t>
            </w:r>
          </w:p>
        </w:tc>
      </w:tr>
    </w:tbl>
    <w:p>
      <w:pPr>
        <w:pStyle w:val="Heading1"/>
        <w:keepNext/>
      </w:pPr>
      <w:r>
        <w:rPr>
          <w:rFonts w:ascii="Arial" w:hAnsi="Arial" w:eastAsia="Microsoft YaHei"/>
          <w:b/>
          <w:color w:val="000000"/>
          <w:sz w:val="26"/>
        </w:rPr>
        <w:t>4. 咨询师工作台</w:t>
      </w:r>
    </w:p>
    <w:p>
      <w:pPr>
        <w:keepNext/>
        <w:spacing w:after="80"/>
      </w:pPr>
      <w:r>
        <w:t>咨询师围绕一份报告申请完成从资料理解、专业判断到最终交付的工作。工作区采用三栏组织信息：左侧查看用户情境与依据，中间阅读和编辑分析或报告，右侧审核核心判断、风险和质量问题。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000000"/>
          <w:sz w:val="21"/>
        </w:rPr>
        <w:t>报告审核流程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2"/>
          <w:left w:val="single" w:sz="5" w:space="0" w:color="D9E1E2"/>
          <w:bottom w:val="single" w:sz="5" w:space="0" w:color="D9E1E2"/>
          <w:right w:val="single" w:sz="5" w:space="0" w:color="D9E1E2"/>
          <w:insideH w:val="single" w:sz="5" w:space="0" w:color="D9E1E2"/>
          <w:insideV w:val="single" w:sz="5" w:space="0" w:color="D9E1E2"/>
        </w:tblBorders>
      </w:tblPr>
      <w:tblGrid>
        <w:gridCol w:w="1512"/>
        <w:gridCol w:w="4176"/>
        <w:gridCol w:w="4349"/>
      </w:tblGrid>
      <w:tr>
        <w:trPr>
          <w:tblHeader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7585A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7585A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AI 与系统提供</w:t>
            </w:r>
          </w:p>
        </w:tc>
        <w:tc>
          <w:tcPr>
            <w:tcW w:type="dxa" w:w="43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7585A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咨询师完成</w:t>
            </w:r>
          </w:p>
        </w:tc>
      </w:tr>
      <w:t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S0 资料准备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汇总用户档案、当次问卷、背景信息和程序计算结果；标示资料来源、缺失或冲突。</w:t>
            </w:r>
          </w:p>
        </w:tc>
        <w:tc>
          <w:tcPr>
            <w:tcW w:type="dxa" w:w="43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查看上下文与证据，必要时向用户请求补充。</w:t>
            </w:r>
          </w:p>
        </w:tc>
      </w:tr>
      <w:t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S1 专业基础分析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AI 结合传统象征系统与可计算资料，形成候选判断与依据。</w:t>
            </w:r>
          </w:p>
        </w:tc>
        <w:tc>
          <w:tcPr>
            <w:tcW w:type="dxa" w:w="43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确认、修改、拒绝或新增判断；核对证据与置信程度。</w:t>
            </w:r>
          </w:p>
        </w:tc>
      </w:tr>
      <w:t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S2 心理映射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结合用户自述形成对行为倾向、体验和应对方式的候选理解。</w:t>
            </w:r>
          </w:p>
        </w:tc>
        <w:tc>
          <w:tcPr>
            <w:tcW w:type="dxa" w:w="43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检查表述是否贴合用户经验，避免把解释写成诊断。</w:t>
            </w:r>
          </w:p>
        </w:tc>
      </w:tr>
      <w:t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S3 综合判断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整合不同来源的信号，识别相互印证、差异和不确定部分。</w:t>
            </w:r>
          </w:p>
        </w:tc>
        <w:tc>
          <w:tcPr>
            <w:tcW w:type="dxa" w:w="43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确认整合结论；保留无法消除的分歧，不要求 AI 强行统一。</w:t>
            </w:r>
          </w:p>
        </w:tc>
      </w:tr>
      <w:t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S4 机制与行动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梳理可能的重复模式、卡点、资源和可尝试的行动方向。</w:t>
            </w:r>
          </w:p>
        </w:tc>
        <w:tc>
          <w:tcPr>
            <w:tcW w:type="dxa" w:w="43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审核因果解释与建议，调整为具体、可选择的行动参考。</w:t>
            </w:r>
          </w:p>
        </w:tc>
      </w:tr>
      <w:t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S5 报告写作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提供报告主题与叙事结构建议，并按章节生成内容草稿。</w:t>
            </w:r>
          </w:p>
        </w:tc>
        <w:tc>
          <w:tcPr>
            <w:tcW w:type="dxa" w:w="43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选择内容重点，编辑并确认报告表达和行动计划。</w:t>
            </w:r>
          </w:p>
        </w:tc>
      </w:tr>
      <w:t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S6 质量与交付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检查结构完整、依据可追溯、结论一致、表达安全及重复问题。</w:t>
            </w:r>
          </w:p>
        </w:tc>
        <w:tc>
          <w:tcPr>
            <w:tcW w:type="dxa" w:w="43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查看阻断项和提醒；解决阻断项后完成最终审核并交付。</w:t>
            </w:r>
          </w:p>
        </w:tc>
      </w:tr>
    </w:tbl>
    <w:p>
      <w:pPr>
        <w:pStyle w:val="Heading2"/>
        <w:keepNext/>
      </w:pPr>
      <w:r>
        <w:rPr>
          <w:rFonts w:ascii="Arial" w:hAnsi="Arial" w:eastAsia="Microsoft YaHei"/>
          <w:b/>
          <w:color w:val="000000"/>
          <w:sz w:val="21"/>
        </w:rPr>
        <w:t>工作台功能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2"/>
          <w:left w:val="single" w:sz="5" w:space="0" w:color="D9E1E2"/>
          <w:bottom w:val="single" w:sz="5" w:space="0" w:color="D9E1E2"/>
          <w:right w:val="single" w:sz="5" w:space="0" w:color="D9E1E2"/>
          <w:insideH w:val="single" w:sz="5" w:space="0" w:color="D9E1E2"/>
          <w:insideV w:val="single" w:sz="5" w:space="0" w:color="D9E1E2"/>
        </w:tblBorders>
      </w:tblPr>
      <w:tblGrid>
        <w:gridCol w:w="1944"/>
        <w:gridCol w:w="8093"/>
      </w:tblGrid>
      <w:tr>
        <w:trPr>
          <w:tblHeader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7585A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功能模块</w:t>
            </w:r>
          </w:p>
        </w:tc>
        <w:tc>
          <w:tcPr>
            <w:tcW w:type="dxa" w:w="80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7585A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咨询师可完成的操作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申请队列</w:t>
            </w:r>
          </w:p>
        </w:tc>
        <w:tc>
          <w:tcPr>
            <w:tcW w:type="dxa" w:w="80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查看待处理和本人负责的申请，按状态筛选，接收或打开申请；管理员可进行分配。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申请资料与依据</w:t>
            </w:r>
          </w:p>
        </w:tc>
        <w:tc>
          <w:tcPr>
            <w:tcW w:type="dxa" w:w="80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查看本次问卷、用户背景、计算结果、历史必要结论、资料来源和待核实内容。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判断审阅</w:t>
            </w:r>
          </w:p>
        </w:tc>
        <w:tc>
          <w:tcPr>
            <w:tcW w:type="dxa" w:w="80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逐项查看 AI 候选判断、证据、置信度和风险；接受、修改、拒绝或补充判断。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AI 编辑辅助</w:t>
            </w:r>
          </w:p>
        </w:tc>
        <w:tc>
          <w:tcPr>
            <w:tcW w:type="dxa" w:w="80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针对选中内容重新表达、降低确定性、补充替代解释、检查冲突与一致性、压缩或扩写。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报告编辑</w:t>
            </w:r>
          </w:p>
        </w:tc>
        <w:tc>
          <w:tcPr>
            <w:tcW w:type="dxa" w:w="80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查看建议的报告主题与章节结构，选择重点，分段生成和编辑报告内容；保留内容来源与修改记录。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补充资料</w:t>
            </w:r>
          </w:p>
        </w:tc>
        <w:tc>
          <w:tcPr>
            <w:tcW w:type="dxa" w:w="80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标明需要补充的问题并退回用户；用户补交后继续处理原申请。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最终审核与交付</w:t>
            </w:r>
          </w:p>
        </w:tc>
        <w:tc>
          <w:tcPr>
            <w:tcW w:type="dxa" w:w="80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查看结构、依据、安全和一致性检查结果；未解决的阻断项存在时不能交付。交付后报告版本只读。</w:t>
            </w:r>
          </w:p>
        </w:tc>
      </w:tr>
    </w:tbl>
    <w:p>
      <w:pPr>
        <w:pStyle w:val="Heading1"/>
        <w:keepNext/>
        <w:pageBreakBefore/>
      </w:pPr>
      <w:r>
        <w:rPr>
          <w:rFonts w:ascii="Arial" w:hAnsi="Arial" w:eastAsia="Microsoft YaHei"/>
          <w:b/>
          <w:color w:val="000000"/>
          <w:sz w:val="26"/>
        </w:rPr>
        <w:t>5. 管理运营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2"/>
          <w:left w:val="single" w:sz="5" w:space="0" w:color="D9E1E2"/>
          <w:bottom w:val="single" w:sz="5" w:space="0" w:color="D9E1E2"/>
          <w:right w:val="single" w:sz="5" w:space="0" w:color="D9E1E2"/>
          <w:insideH w:val="single" w:sz="5" w:space="0" w:color="D9E1E2"/>
          <w:insideV w:val="single" w:sz="5" w:space="0" w:color="D9E1E2"/>
        </w:tblBorders>
      </w:tblPr>
      <w:tblGrid>
        <w:gridCol w:w="1944"/>
        <w:gridCol w:w="8093"/>
      </w:tblGrid>
      <w:tr>
        <w:trPr>
          <w:tblHeader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7585A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功能模块</w:t>
            </w:r>
          </w:p>
        </w:tc>
        <w:tc>
          <w:tcPr>
            <w:tcW w:type="dxa" w:w="80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7585A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管理员可完成的操作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运营总览</w:t>
            </w:r>
          </w:p>
        </w:tc>
        <w:tc>
          <w:tcPr>
            <w:tcW w:type="dxa" w:w="80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查看用户、申请、报告交付和 AI 任务运行概况，定位待处理事项。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成员与权限</w:t>
            </w:r>
          </w:p>
        </w:tc>
        <w:tc>
          <w:tcPr>
            <w:tcW w:type="dxa" w:w="80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邀请咨询师和管理员，维护后台成员角色、账号状态及访问权限。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用户管理</w:t>
            </w:r>
          </w:p>
        </w:tc>
        <w:tc>
          <w:tcPr>
            <w:tcW w:type="dxa" w:w="80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查询用户及账号状态，查看必要的服务记录，处理账号启停等运营操作。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报告申请管理</w:t>
            </w:r>
          </w:p>
        </w:tc>
        <w:tc>
          <w:tcPr>
            <w:tcW w:type="dxa" w:w="80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查看申请队列，分配咨询师，处理申请关闭或未受理情况并记录原因。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生成任务管理</w:t>
            </w:r>
          </w:p>
        </w:tc>
        <w:tc>
          <w:tcPr>
            <w:tcW w:type="dxa" w:w="80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查看报告和日历 AI 任务状态及错误信息；对符合条件的失败任务进行授权重试。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日历运行观察</w:t>
            </w:r>
          </w:p>
        </w:tc>
        <w:tc>
          <w:tcPr>
            <w:tcW w:type="dxa" w:w="80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查看日历生成结果和异常情况，协助排查运行问题；正常日历请求不进入人工审批。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操作审计</w:t>
            </w:r>
          </w:p>
        </w:tc>
        <w:tc>
          <w:tcPr>
            <w:tcW w:type="dxa" w:w="80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查询申请分配、审核、交付、任务重试和后台管理等操作记录。</w:t>
            </w:r>
          </w:p>
        </w:tc>
      </w:tr>
    </w:tbl>
    <w:p>
      <w:pPr>
        <w:pStyle w:val="Heading1"/>
        <w:keepNext/>
      </w:pPr>
      <w:r>
        <w:rPr>
          <w:rFonts w:ascii="Arial" w:hAnsi="Arial" w:eastAsia="Microsoft YaHei"/>
          <w:b/>
          <w:color w:val="000000"/>
          <w:sz w:val="26"/>
        </w:rPr>
        <w:t>6. AI 内容生产管理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2"/>
          <w:left w:val="single" w:sz="5" w:space="0" w:color="D9E1E2"/>
          <w:bottom w:val="single" w:sz="5" w:space="0" w:color="D9E1E2"/>
          <w:right w:val="single" w:sz="5" w:space="0" w:color="D9E1E2"/>
          <w:insideH w:val="single" w:sz="5" w:space="0" w:color="D9E1E2"/>
          <w:insideV w:val="single" w:sz="5" w:space="0" w:color="D9E1E2"/>
        </w:tblBorders>
      </w:tblPr>
      <w:tblGrid>
        <w:gridCol w:w="1944"/>
        <w:gridCol w:w="8093"/>
      </w:tblGrid>
      <w:tr>
        <w:trPr>
          <w:tblHeader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7585A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功能模块</w:t>
            </w:r>
          </w:p>
        </w:tc>
        <w:tc>
          <w:tcPr>
            <w:tcW w:type="dxa" w:w="80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7585A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AI 内容负责人可完成的操作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工作流与 Skills</w:t>
            </w:r>
          </w:p>
        </w:tc>
        <w:tc>
          <w:tcPr>
            <w:tcW w:type="dxa" w:w="80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查看和维护报告生产各阶段、Skill 指令、输入输出要求、上下文规则、安全边界与版本。已发布版本保留历史，不被新版本覆盖。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知识与样例</w:t>
            </w:r>
          </w:p>
        </w:tc>
        <w:tc>
          <w:tcPr>
            <w:tcW w:type="dxa" w:w="80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整理可供 AI 参考的知识材料和案例范例，按主题、用途和表达特点归类，并配置适用的报告环节。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试运行与评估</w:t>
            </w:r>
          </w:p>
        </w:tc>
        <w:tc>
          <w:tcPr>
            <w:tcW w:type="dxa" w:w="80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用代表性案例试运行 Skill，查看输入、输出和问题；评估依据忠实度、覆盖度、一致性、过度推断、安全表达和人工修订情况。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问题追踪</w:t>
            </w:r>
          </w:p>
        </w:tc>
        <w:tc>
          <w:tcPr>
            <w:tcW w:type="dxa" w:w="80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7F6"/>
          </w:tcPr>
          <w:p>
            <w:pPr>
              <w:spacing w:after="0" w:before="0" w:line="259" w:lineRule="auto"/>
            </w:pPr>
            <w:r/>
            <w:r>
              <w:rPr>
                <w:rFonts w:ascii="Arial" w:hAnsi="Arial" w:eastAsia="Microsoft YaHei"/>
                <w:b w:val="0"/>
                <w:color w:val="263238"/>
                <w:sz w:val="16"/>
              </w:rPr>
              <w:t>记录运行失败和内容质量问题，关联工作流、Skill 版本和案例，支持复核与后续评估。</w:t>
            </w:r>
          </w:p>
        </w:tc>
      </w:tr>
    </w:tbl>
    <w:p>
      <w:pPr>
        <w:pStyle w:val="Heading1"/>
        <w:keepNext/>
      </w:pPr>
      <w:r>
        <w:rPr>
          <w:rFonts w:ascii="Arial" w:hAnsi="Arial" w:eastAsia="Microsoft YaHei"/>
          <w:b/>
          <w:color w:val="000000"/>
          <w:sz w:val="26"/>
        </w:rPr>
        <w:t>7. 产品规则与内容原则</w:t>
      </w:r>
    </w:p>
    <w:p>
      <w:pPr>
        <w:pStyle w:val="ListBullet"/>
        <w:spacing w:after="40" w:line="259" w:lineRule="auto"/>
      </w:pPr>
      <w:r>
        <w:rPr>
          <w:rFonts w:ascii="Arial" w:hAnsi="Arial" w:eastAsia="Microsoft YaHei"/>
          <w:b w:val="0"/>
          <w:color w:val="263238"/>
          <w:sz w:val="17"/>
        </w:rPr>
        <w:t>人生说明书必须经过用户申请、咨询师审核修正和最终审核后交付；未经审核的 AI 初稿仅供内部工作使用。</w:t>
      </w:r>
    </w:p>
    <w:p>
      <w:pPr>
        <w:pStyle w:val="ListBullet"/>
        <w:spacing w:after="40" w:line="259" w:lineRule="auto"/>
      </w:pPr>
      <w:r>
        <w:rPr>
          <w:rFonts w:ascii="Arial" w:hAnsi="Arial" w:eastAsia="Microsoft YaHei"/>
          <w:b w:val="0"/>
          <w:color w:val="263238"/>
          <w:sz w:val="17"/>
        </w:rPr>
        <w:t>决策日历只能关联用户已交付的人生说明书；AI 生成成功后自动向用户交付，不经过人工审批。</w:t>
      </w:r>
    </w:p>
    <w:p>
      <w:pPr>
        <w:pStyle w:val="ListBullet"/>
        <w:spacing w:after="40" w:line="259" w:lineRule="auto"/>
      </w:pPr>
      <w:r>
        <w:rPr>
          <w:rFonts w:ascii="Arial" w:hAnsi="Arial" w:eastAsia="Microsoft YaHei"/>
          <w:b w:val="0"/>
          <w:color w:val="263238"/>
          <w:sz w:val="17"/>
        </w:rPr>
        <w:t>报告和日历提供自我理解与行动参考，不承诺必然结果，不替代用户作出现实决定。</w:t>
      </w:r>
    </w:p>
    <w:p>
      <w:pPr>
        <w:pStyle w:val="ListBullet"/>
        <w:spacing w:after="40" w:line="259" w:lineRule="auto"/>
      </w:pPr>
      <w:r>
        <w:rPr>
          <w:rFonts w:ascii="Arial" w:hAnsi="Arial" w:eastAsia="Microsoft YaHei"/>
          <w:b w:val="0"/>
          <w:color w:val="263238"/>
          <w:sz w:val="17"/>
        </w:rPr>
        <w:t>AI 生成内容应以用户提供的资料和可追溯依据为基础；专业判断由咨询师确认，资料冲突与不确定性应清楚呈现。</w:t>
      </w:r>
    </w:p>
    <w:p>
      <w:pPr>
        <w:pStyle w:val="ListBullet"/>
        <w:spacing w:after="40" w:line="259" w:lineRule="auto"/>
      </w:pPr>
      <w:r>
        <w:rPr>
          <w:rFonts w:ascii="Arial" w:hAnsi="Arial" w:eastAsia="Microsoft YaHei"/>
          <w:b w:val="0"/>
          <w:color w:val="263238"/>
          <w:sz w:val="17"/>
        </w:rPr>
        <w:t>用户只能访问自己的资料、申请、已交付报告、日历和行动记录；咨询师按申请分配范围查看处理所需信息。</w:t>
      </w:r>
    </w:p>
    <w:sectPr w:rsidR="00FC693F" w:rsidRPr="0006063C" w:rsidSect="00034616">
      <w:footerReference w:type="default" r:id="rId9"/>
      <w:pgSz w:w="11909" w:h="16834"/>
      <w:pgMar w:top="893" w:right="936" w:bottom="893" w:left="936" w:header="720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718080"/>
        <w:sz w:val="16"/>
      </w:rPr>
      <w:t xml:space="preserve">辰鉴一期产品需求文档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" w:hAnsi="Arial" w:eastAsia="Microsoft YaHei"/>
      <w:b w:val="0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辰鉴一期产品需求文档</dc:title>
  <dc:subject>开发前产品功能范围</dc:subject>
  <dc:creator>python-docx</dc:creator>
  <cp:keywords>辰鉴, 产品需求, 功能范围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