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F67A" w14:textId="7B44D048" w:rsidR="00552CC3" w:rsidRDefault="007928C7" w:rsidP="007928C7">
      <w:pPr>
        <w:pStyle w:val="Heading1"/>
      </w:pPr>
      <w:r>
        <w:t>Transfer</w:t>
      </w:r>
      <w:r w:rsidR="00B742EC">
        <w:t xml:space="preserve"> Credit Statistic</w:t>
      </w:r>
      <w:r>
        <w:t>s</w:t>
      </w:r>
    </w:p>
    <w:p w14:paraId="2E4FC1A0" w14:textId="013E1EF7" w:rsidR="007928C7" w:rsidRDefault="007928C7" w:rsidP="007928C7">
      <w:r>
        <w:t xml:space="preserve">The attached </w:t>
      </w:r>
      <w:r w:rsidR="000A3069">
        <w:t>workbook</w:t>
      </w:r>
      <w:r>
        <w:t xml:space="preserve"> lists all CUNY courses that were transferred </w:t>
      </w:r>
      <w:r w:rsidR="00B742EC">
        <w:t>other CUNY colleges</w:t>
      </w:r>
      <w:r>
        <w:t xml:space="preserve"> between </w:t>
      </w:r>
      <w:r w:rsidR="00C734E7">
        <w:t>Fall</w:t>
      </w:r>
      <w:r>
        <w:t xml:space="preserve"> 2019 and Spring 2022 in decreasing order of the number of students who transferred those courses.</w:t>
      </w:r>
      <w:r w:rsidR="000A3069">
        <w:t xml:space="preserve"> There is a separate spreadsheet tab for each receiving college.</w:t>
      </w:r>
    </w:p>
    <w:p w14:paraId="0EF77FAD" w14:textId="56420CDA" w:rsidR="00D7715F" w:rsidRDefault="00B742EC" w:rsidP="00D7715F">
      <w:r>
        <w:t>T</w:t>
      </w:r>
      <w:r w:rsidR="000A3069">
        <w:t>wo</w:t>
      </w:r>
      <w:r>
        <w:t xml:space="preserve"> sources of information were combined to produce this </w:t>
      </w:r>
      <w:r w:rsidR="000A3069">
        <w:t>workbook:</w:t>
      </w:r>
    </w:p>
    <w:p w14:paraId="03117046" w14:textId="29BEC1F1" w:rsidR="000A3069" w:rsidRDefault="000A3069" w:rsidP="000A3069">
      <w:pPr>
        <w:pStyle w:val="ListParagraph"/>
        <w:numPr>
          <w:ilvl w:val="0"/>
          <w:numId w:val="1"/>
        </w:numPr>
      </w:pPr>
      <w:r>
        <w:t>CUNYfirst course catalog and transfer rule information, which provide a current view of how courses transfer by default.</w:t>
      </w:r>
    </w:p>
    <w:p w14:paraId="162306D5" w14:textId="234047E7" w:rsidR="000A3069" w:rsidRDefault="000A3069" w:rsidP="000A3069">
      <w:pPr>
        <w:pStyle w:val="ListParagraph"/>
        <w:numPr>
          <w:ilvl w:val="0"/>
          <w:numId w:val="1"/>
        </w:numPr>
      </w:pPr>
      <w:r>
        <w:t>CUNYfirst transfer evaluation logs, which show how courses transferred for every student who took the course and transferred to the destination college.</w:t>
      </w:r>
    </w:p>
    <w:p w14:paraId="7413295A" w14:textId="5466B6AF" w:rsidR="000A3069" w:rsidRDefault="00FD3C04" w:rsidP="008F5209">
      <w:pPr>
        <w:pStyle w:val="Heading2"/>
      </w:pPr>
      <w:r>
        <w:t>Caveats</w:t>
      </w:r>
      <w:r w:rsidR="008F5209">
        <w:t xml:space="preserve"> and Implications</w:t>
      </w:r>
    </w:p>
    <w:p w14:paraId="663D7847" w14:textId="7AFD12B4" w:rsidR="00FD3C04" w:rsidRDefault="00FD3C04" w:rsidP="00FD3C04">
      <w:pPr>
        <w:pStyle w:val="ListParagraph"/>
        <w:numPr>
          <w:ilvl w:val="0"/>
          <w:numId w:val="2"/>
        </w:numPr>
      </w:pPr>
      <w:r>
        <w:t>Courses change over time. Every course in the CUNY-wide course catalog has a unique ID number. Subject names, catalog numbers, titles, and even credits can evolve over time.</w:t>
      </w:r>
    </w:p>
    <w:p w14:paraId="59C38132" w14:textId="037B408E" w:rsidR="00FD3C04" w:rsidRDefault="00FD3C04" w:rsidP="00FD3C04">
      <w:pPr>
        <w:pStyle w:val="ListParagraph"/>
        <w:numPr>
          <w:ilvl w:val="0"/>
          <w:numId w:val="2"/>
        </w:numPr>
      </w:pPr>
      <w:r>
        <w:t xml:space="preserve">Transfer rules are complex, </w:t>
      </w:r>
      <w:proofErr w:type="gramStart"/>
      <w:r>
        <w:t>and also</w:t>
      </w:r>
      <w:proofErr w:type="gramEnd"/>
      <w:r>
        <w:t xml:space="preserve"> change over time.</w:t>
      </w:r>
    </w:p>
    <w:p w14:paraId="2A68270F" w14:textId="578AD992" w:rsidR="008F5209" w:rsidRDefault="008F5209" w:rsidP="008F5209">
      <w:r>
        <w:t>Each transfer evaluation log entry gives the course ID, subject, and catalog number for both the sending course and one receiving course.</w:t>
      </w:r>
      <w:r w:rsidR="00C04010">
        <w:t xml:space="preserve"> In the 1.3 million evaluation log entries examined, there were 23 thousand cases (1.8%) where the sending subject and/or catalog number did not match the current CUNYfirst information for the course ID.</w:t>
      </w:r>
      <w:r>
        <w:t xml:space="preserve"> </w:t>
      </w:r>
      <w:proofErr w:type="gramStart"/>
      <w:r w:rsidR="00C04010">
        <w:t>In all likelihood</w:t>
      </w:r>
      <w:proofErr w:type="gramEnd"/>
      <w:r w:rsidR="00C04010">
        <w:t>, these are all normal cases of courses evolving over time.</w:t>
      </w:r>
      <w:r w:rsidR="00620179">
        <w:t xml:space="preserve"> There was just one case where this was the case for the receiving course.</w:t>
      </w:r>
    </w:p>
    <w:p w14:paraId="04C99248" w14:textId="799134CB" w:rsidR="00620179" w:rsidRDefault="00620179" w:rsidP="008F5209">
      <w:r>
        <w:t xml:space="preserve">In most cases a transfer rule simply maps one sending course to one receiving course, so one transfer evaluation log entry will capture all the information related to that rule. However, the transfer rules also allow multiple courses to be combined, either at the sending side, the receiving side, or both. In these cases, multiple transfer log entries </w:t>
      </w:r>
      <w:r w:rsidR="0034035F">
        <w:t>are needed</w:t>
      </w:r>
      <w:r>
        <w:t xml:space="preserve"> to cover the same course(s) for a </w:t>
      </w:r>
      <w:r w:rsidR="0034035F">
        <w:t xml:space="preserve">single </w:t>
      </w:r>
      <w:r>
        <w:t>student.</w:t>
      </w:r>
      <w:r w:rsidR="0034035F">
        <w:t xml:space="preserve"> For this project, all the credits awarded at the receiving college for a single sending course for all students are summed and </w:t>
      </w:r>
      <w:r w:rsidR="006A386F">
        <w:t xml:space="preserve">then </w:t>
      </w:r>
      <w:r w:rsidR="0034035F">
        <w:t>divided by the number of student</w:t>
      </w:r>
      <w:r w:rsidR="006A386F">
        <w:t>s</w:t>
      </w:r>
      <w:r w:rsidR="0034035F">
        <w:t xml:space="preserve"> to get “the” number of credits awarded for the course.</w:t>
      </w:r>
    </w:p>
    <w:p w14:paraId="01B6569F" w14:textId="02A0F618" w:rsidR="006A386F" w:rsidRDefault="006A386F">
      <w:pPr>
        <w:spacing w:before="0" w:after="0" w:afterAutospacing="0"/>
        <w:rPr>
          <w:rFonts w:asciiTheme="majorHAnsi" w:eastAsiaTheme="majorEastAsia" w:hAnsiTheme="majorHAnsi" w:cstheme="majorBidi"/>
          <w:color w:val="2F5496" w:themeColor="accent1" w:themeShade="BF"/>
          <w:sz w:val="26"/>
          <w:szCs w:val="26"/>
        </w:rPr>
      </w:pPr>
      <w:r>
        <w:br w:type="page"/>
      </w:r>
      <w:r w:rsidR="00D04774">
        <w:rPr>
          <w:rStyle w:val="FootnoteReference"/>
          <w:rFonts w:asciiTheme="majorHAnsi" w:eastAsiaTheme="majorEastAsia" w:hAnsiTheme="majorHAnsi" w:cstheme="majorBidi"/>
          <w:color w:val="2F5496" w:themeColor="accent1" w:themeShade="BF"/>
          <w:sz w:val="26"/>
          <w:szCs w:val="26"/>
        </w:rPr>
        <w:lastRenderedPageBreak/>
        <w:footnoteReference w:id="1"/>
      </w:r>
    </w:p>
    <w:p w14:paraId="52A3399E" w14:textId="0413ABE6" w:rsidR="006A386F" w:rsidRPr="006A386F" w:rsidRDefault="006A386F" w:rsidP="006A386F">
      <w:pPr>
        <w:pStyle w:val="Heading2"/>
      </w:pPr>
      <w:r>
        <w:t>Spreadsheet Columns</w:t>
      </w:r>
    </w:p>
    <w:tbl>
      <w:tblPr>
        <w:tblStyle w:val="TableGrid"/>
        <w:tblW w:w="0" w:type="auto"/>
        <w:tblLook w:val="04A0" w:firstRow="1" w:lastRow="0" w:firstColumn="1" w:lastColumn="0" w:noHBand="0" w:noVBand="1"/>
      </w:tblPr>
      <w:tblGrid>
        <w:gridCol w:w="3505"/>
        <w:gridCol w:w="5845"/>
      </w:tblGrid>
      <w:tr w:rsidR="003C4364" w14:paraId="364C1C25" w14:textId="77777777" w:rsidTr="002368CE">
        <w:tc>
          <w:tcPr>
            <w:tcW w:w="3505" w:type="dxa"/>
            <w:shd w:val="clear" w:color="auto" w:fill="E7E6E6" w:themeFill="background2"/>
          </w:tcPr>
          <w:p w14:paraId="7552200A" w14:textId="02DFC70A" w:rsidR="003C4364" w:rsidRPr="002368CE" w:rsidRDefault="003C4364" w:rsidP="007928C7">
            <w:pPr>
              <w:rPr>
                <w:b/>
                <w:bCs/>
              </w:rPr>
            </w:pPr>
            <w:r w:rsidRPr="002368CE">
              <w:rPr>
                <w:b/>
                <w:bCs/>
              </w:rPr>
              <w:t>Column</w:t>
            </w:r>
            <w:r w:rsidR="002368CE" w:rsidRPr="002368CE">
              <w:rPr>
                <w:b/>
                <w:bCs/>
              </w:rPr>
              <w:t>s</w:t>
            </w:r>
          </w:p>
        </w:tc>
        <w:tc>
          <w:tcPr>
            <w:tcW w:w="5845" w:type="dxa"/>
            <w:shd w:val="clear" w:color="auto" w:fill="E7E6E6" w:themeFill="background2"/>
          </w:tcPr>
          <w:p w14:paraId="6AA425D4" w14:textId="14AF0E17" w:rsidR="003C4364" w:rsidRPr="002368CE" w:rsidRDefault="002368CE" w:rsidP="007928C7">
            <w:pPr>
              <w:rPr>
                <w:b/>
                <w:bCs/>
              </w:rPr>
            </w:pPr>
            <w:r w:rsidRPr="002368CE">
              <w:rPr>
                <w:b/>
                <w:bCs/>
              </w:rPr>
              <w:t>Notes</w:t>
            </w:r>
          </w:p>
        </w:tc>
      </w:tr>
      <w:tr w:rsidR="00390107" w14:paraId="7855D35D" w14:textId="77777777" w:rsidTr="003C4364">
        <w:tc>
          <w:tcPr>
            <w:tcW w:w="3505" w:type="dxa"/>
          </w:tcPr>
          <w:p w14:paraId="11540CF7" w14:textId="56DE8C74" w:rsidR="00390107" w:rsidRDefault="003C4364" w:rsidP="007928C7">
            <w:r>
              <w:t>Sending College, Sending Course</w:t>
            </w:r>
          </w:p>
        </w:tc>
        <w:tc>
          <w:tcPr>
            <w:tcW w:w="5845" w:type="dxa"/>
          </w:tcPr>
          <w:p w14:paraId="60820DBC" w14:textId="5CB93BDC" w:rsidR="00390107" w:rsidRDefault="006A386F" w:rsidP="007928C7">
            <w:r>
              <w:t>The subject and catalog number shown are taken from current values for the sending course ID.</w:t>
            </w:r>
            <w:r w:rsidR="0026006B">
              <w:t xml:space="preserve"> The </w:t>
            </w:r>
            <w:r w:rsidR="00F16024">
              <w:t>sending course may be followed by one or more of the indicators listed below for receiving courses.</w:t>
            </w:r>
          </w:p>
        </w:tc>
      </w:tr>
      <w:tr w:rsidR="00390107" w14:paraId="5582E608" w14:textId="77777777" w:rsidTr="003C4364">
        <w:tc>
          <w:tcPr>
            <w:tcW w:w="3505" w:type="dxa"/>
          </w:tcPr>
          <w:p w14:paraId="0F9A9079" w14:textId="36C45A11" w:rsidR="00390107" w:rsidRDefault="003C4364" w:rsidP="007928C7">
            <w:r>
              <w:t>Students, Repeats</w:t>
            </w:r>
          </w:p>
        </w:tc>
        <w:tc>
          <w:tcPr>
            <w:tcW w:w="5845" w:type="dxa"/>
          </w:tcPr>
          <w:p w14:paraId="37A524D6" w14:textId="67CE794B" w:rsidR="00390107" w:rsidRDefault="006A386F" w:rsidP="007928C7">
            <w:r>
              <w:t>Rarely, a student’s record will be re-evaluated, which is shown in the Repeats column</w:t>
            </w:r>
          </w:p>
        </w:tc>
      </w:tr>
      <w:tr w:rsidR="00390107" w14:paraId="1890CC5F" w14:textId="77777777" w:rsidTr="003C4364">
        <w:tc>
          <w:tcPr>
            <w:tcW w:w="3505" w:type="dxa"/>
          </w:tcPr>
          <w:p w14:paraId="19BF94E7" w14:textId="7CBFB46A" w:rsidR="00390107" w:rsidRDefault="003C4364" w:rsidP="007928C7">
            <w:r>
              <w:t>Sending Cr</w:t>
            </w:r>
          </w:p>
        </w:tc>
        <w:tc>
          <w:tcPr>
            <w:tcW w:w="5845" w:type="dxa"/>
          </w:tcPr>
          <w:p w14:paraId="65C02D25" w14:textId="234E389E" w:rsidR="00390107" w:rsidRDefault="006A386F" w:rsidP="007928C7">
            <w:r>
              <w:t>The number of credits students earned when they took the course, which might be different from the current number of credits for the same course ID.</w:t>
            </w:r>
          </w:p>
        </w:tc>
      </w:tr>
      <w:tr w:rsidR="00390107" w14:paraId="070C1921" w14:textId="77777777" w:rsidTr="003C4364">
        <w:tc>
          <w:tcPr>
            <w:tcW w:w="3505" w:type="dxa"/>
          </w:tcPr>
          <w:p w14:paraId="05FD0985" w14:textId="0DE5C4E9" w:rsidR="00390107" w:rsidRDefault="003C4364" w:rsidP="007928C7">
            <w:r>
              <w:t>Real, BKCR, % Real</w:t>
            </w:r>
          </w:p>
        </w:tc>
        <w:tc>
          <w:tcPr>
            <w:tcW w:w="5845" w:type="dxa"/>
          </w:tcPr>
          <w:p w14:paraId="5762DED9" w14:textId="765DCCD9" w:rsidR="00390107" w:rsidRDefault="009C181F" w:rsidP="007928C7">
            <w:r>
              <w:t xml:space="preserve">Of the total credits for a course, how many transferred as a “real” course that might be used to satisfy the requirements for a major, minor, or concentration; how many transferred only as blanket credits; what percentage of the credits are for real courses. Rows where this percentage is less than 50% are </w:t>
            </w:r>
            <w:r w:rsidRPr="009C181F">
              <w:rPr>
                <w:b/>
                <w:bCs/>
                <w:color w:val="800080"/>
              </w:rPr>
              <w:t>highlighted like this</w:t>
            </w:r>
            <w:r>
              <w:t xml:space="preserve">. </w:t>
            </w:r>
          </w:p>
        </w:tc>
      </w:tr>
      <w:tr w:rsidR="00390107" w14:paraId="4B353A77" w14:textId="77777777" w:rsidTr="003C4364">
        <w:tc>
          <w:tcPr>
            <w:tcW w:w="3505" w:type="dxa"/>
          </w:tcPr>
          <w:p w14:paraId="762CC8D9" w14:textId="61558940" w:rsidR="00390107" w:rsidRDefault="003C4364" w:rsidP="007928C7">
            <w:r>
              <w:t>Receiving Courses</w:t>
            </w:r>
          </w:p>
        </w:tc>
        <w:tc>
          <w:tcPr>
            <w:tcW w:w="5845" w:type="dxa"/>
          </w:tcPr>
          <w:p w14:paraId="635EECA6" w14:textId="77777777" w:rsidR="00390107" w:rsidRDefault="009C181F" w:rsidP="007928C7">
            <w:r>
              <w:t xml:space="preserve">A list of all the </w:t>
            </w:r>
            <w:r w:rsidR="00D04774">
              <w:t>receiving courses students received for the sending course, with the number of students receiving each one in parentheses. In addition, certain properties are indicated in square brackets after the course:</w:t>
            </w:r>
          </w:p>
          <w:p w14:paraId="3662A2FF" w14:textId="77777777" w:rsidR="00D04774" w:rsidRDefault="00D04774" w:rsidP="00D04774">
            <w:pPr>
              <w:pStyle w:val="ListParagraph"/>
              <w:numPr>
                <w:ilvl w:val="0"/>
                <w:numId w:val="3"/>
              </w:numPr>
            </w:pPr>
            <w:r w:rsidRPr="0026006B">
              <w:rPr>
                <w:b/>
                <w:bCs/>
                <w:sz w:val="28"/>
                <w:szCs w:val="28"/>
              </w:rPr>
              <w:t>M</w:t>
            </w:r>
            <w:r>
              <w:t xml:space="preserve"> The course is a “message” pseudo-course</w:t>
            </w:r>
            <w:r w:rsidR="0026006B">
              <w:t xml:space="preserve"> used for administrative purposes.</w:t>
            </w:r>
          </w:p>
          <w:p w14:paraId="7966A461" w14:textId="77777777" w:rsidR="0026006B" w:rsidRDefault="0026006B" w:rsidP="00D04774">
            <w:pPr>
              <w:pStyle w:val="ListParagraph"/>
              <w:numPr>
                <w:ilvl w:val="0"/>
                <w:numId w:val="3"/>
              </w:numPr>
            </w:pPr>
            <w:r w:rsidRPr="0026006B">
              <w:rPr>
                <w:b/>
                <w:bCs/>
                <w:sz w:val="28"/>
                <w:szCs w:val="28"/>
              </w:rPr>
              <w:t>B</w:t>
            </w:r>
            <w:r>
              <w:t xml:space="preserve"> This is a blanket-credit course.</w:t>
            </w:r>
          </w:p>
          <w:p w14:paraId="12AACAB7" w14:textId="77777777" w:rsidR="0026006B" w:rsidRPr="0026006B" w:rsidRDefault="0026006B" w:rsidP="00D04774">
            <w:pPr>
              <w:pStyle w:val="ListParagraph"/>
              <w:numPr>
                <w:ilvl w:val="0"/>
                <w:numId w:val="3"/>
              </w:numPr>
              <w:rPr>
                <w:b/>
                <w:bCs/>
              </w:rPr>
            </w:pPr>
            <w:r w:rsidRPr="0026006B">
              <w:rPr>
                <w:b/>
                <w:bCs/>
                <w:sz w:val="28"/>
                <w:szCs w:val="28"/>
              </w:rPr>
              <w:t>I</w:t>
            </w:r>
            <w:r>
              <w:t xml:space="preserve"> The course is currently inactive</w:t>
            </w:r>
          </w:p>
          <w:p w14:paraId="49C9B405" w14:textId="77777777" w:rsidR="0026006B" w:rsidRPr="0026006B" w:rsidRDefault="0026006B" w:rsidP="00D04774">
            <w:pPr>
              <w:pStyle w:val="ListParagraph"/>
              <w:numPr>
                <w:ilvl w:val="0"/>
                <w:numId w:val="3"/>
              </w:numPr>
              <w:rPr>
                <w:b/>
                <w:bCs/>
              </w:rPr>
            </w:pPr>
            <w:r>
              <w:rPr>
                <w:b/>
                <w:bCs/>
                <w:sz w:val="28"/>
                <w:szCs w:val="28"/>
              </w:rPr>
              <w:t xml:space="preserve">G </w:t>
            </w:r>
            <w:r>
              <w:t>The course is not an undergraduate course.</w:t>
            </w:r>
          </w:p>
          <w:p w14:paraId="2F222013" w14:textId="37CD395B" w:rsidR="0026006B" w:rsidRPr="0026006B" w:rsidRDefault="0026006B" w:rsidP="00D04774">
            <w:pPr>
              <w:pStyle w:val="ListParagraph"/>
              <w:numPr>
                <w:ilvl w:val="0"/>
                <w:numId w:val="3"/>
              </w:numPr>
              <w:rPr>
                <w:b/>
                <w:bCs/>
              </w:rPr>
            </w:pPr>
            <w:r>
              <w:rPr>
                <w:b/>
                <w:bCs/>
                <w:sz w:val="28"/>
                <w:szCs w:val="28"/>
              </w:rPr>
              <w:t>?</w:t>
            </w:r>
            <w:r>
              <w:t xml:space="preserve"> The course ID doesn’t match anything in CUNYfirst.</w:t>
            </w:r>
          </w:p>
        </w:tc>
      </w:tr>
      <w:tr w:rsidR="00390107" w14:paraId="64E0C79D" w14:textId="77777777" w:rsidTr="003C4364">
        <w:tc>
          <w:tcPr>
            <w:tcW w:w="3505" w:type="dxa"/>
          </w:tcPr>
          <w:p w14:paraId="5410BE99" w14:textId="1F07BC39" w:rsidR="00390107" w:rsidRDefault="003C4364" w:rsidP="007928C7">
            <w:r>
              <w:t>Rule Descriptions, Rule Keys</w:t>
            </w:r>
          </w:p>
        </w:tc>
        <w:tc>
          <w:tcPr>
            <w:tcW w:w="5845" w:type="dxa"/>
          </w:tcPr>
          <w:p w14:paraId="3856409F" w14:textId="77777777" w:rsidR="00390107" w:rsidRDefault="00F16024" w:rsidP="007928C7">
            <w:r>
              <w:t xml:space="preserve">The descriptions are English descriptions of all the transfer rules for transferring the sending course to the </w:t>
            </w:r>
            <w:r>
              <w:lastRenderedPageBreak/>
              <w:t>receiving college.</w:t>
            </w:r>
            <w:r w:rsidR="003B41B1">
              <w:t xml:space="preserve"> Credits for real courses are shown, but message/blanket-credit courses are followed by M and/or B.</w:t>
            </w:r>
          </w:p>
          <w:p w14:paraId="216CC57B" w14:textId="11AC488A" w:rsidR="003B41B1" w:rsidRDefault="003B41B1" w:rsidP="007928C7">
            <w:r>
              <w:t xml:space="preserve">The Rule Keys column contains CUNYfirst coded information that could be used by a college registrar to identify a transfer rule </w:t>
            </w:r>
            <w:r w:rsidR="00FF5B23">
              <w:t>to be updated.</w:t>
            </w:r>
          </w:p>
        </w:tc>
      </w:tr>
    </w:tbl>
    <w:p w14:paraId="0F3B2936" w14:textId="19679706" w:rsidR="003A2CBF" w:rsidRPr="003A2CBF" w:rsidRDefault="003A2CBF" w:rsidP="007928C7">
      <w:pPr>
        <w:spacing w:before="0" w:after="0" w:afterAutospacing="0"/>
      </w:pPr>
    </w:p>
    <w:sectPr w:rsidR="003A2CBF" w:rsidRPr="003A2C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D202" w14:textId="77777777" w:rsidR="005E738B" w:rsidRDefault="005E738B" w:rsidP="00D04774">
      <w:pPr>
        <w:spacing w:before="0" w:after="0"/>
      </w:pPr>
      <w:r>
        <w:separator/>
      </w:r>
    </w:p>
  </w:endnote>
  <w:endnote w:type="continuationSeparator" w:id="0">
    <w:p w14:paraId="5BCE957E" w14:textId="77777777" w:rsidR="005E738B" w:rsidRDefault="005E738B" w:rsidP="00D047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525B" w14:textId="77777777" w:rsidR="000A79D0" w:rsidRDefault="000A7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846A" w14:textId="77777777" w:rsidR="000A79D0" w:rsidRDefault="000A7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4184" w14:textId="77777777" w:rsidR="000A79D0" w:rsidRDefault="000A7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BBF9" w14:textId="77777777" w:rsidR="005E738B" w:rsidRDefault="005E738B" w:rsidP="00D04774">
      <w:pPr>
        <w:spacing w:before="0" w:after="0"/>
      </w:pPr>
      <w:r>
        <w:separator/>
      </w:r>
    </w:p>
  </w:footnote>
  <w:footnote w:type="continuationSeparator" w:id="0">
    <w:p w14:paraId="77AF0433" w14:textId="77777777" w:rsidR="005E738B" w:rsidRDefault="005E738B" w:rsidP="00D04774">
      <w:pPr>
        <w:spacing w:before="0" w:after="0"/>
      </w:pPr>
      <w:r>
        <w:continuationSeparator/>
      </w:r>
    </w:p>
  </w:footnote>
  <w:footnote w:id="1">
    <w:p w14:paraId="740D9596" w14:textId="1B0322F0" w:rsidR="00D04774" w:rsidRDefault="00D047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6329" w14:textId="04B7043C" w:rsidR="000A79D0" w:rsidRDefault="005E738B">
    <w:pPr>
      <w:pStyle w:val="Header"/>
    </w:pPr>
    <w:r>
      <w:rPr>
        <w:noProof/>
      </w:rPr>
      <w:pict w14:anchorId="7C2A23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7728" w14:textId="01D8FEA1" w:rsidR="000A79D0" w:rsidRDefault="005E738B">
    <w:pPr>
      <w:pStyle w:val="Header"/>
    </w:pPr>
    <w:r>
      <w:rPr>
        <w:noProof/>
      </w:rPr>
      <w:pict w14:anchorId="7CAD1A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597C" w14:textId="4D663857" w:rsidR="000A79D0" w:rsidRDefault="005E738B">
    <w:pPr>
      <w:pStyle w:val="Header"/>
    </w:pPr>
    <w:r>
      <w:rPr>
        <w:noProof/>
      </w:rPr>
      <w:pict w14:anchorId="658C3F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84219"/>
    <w:multiLevelType w:val="hybridMultilevel"/>
    <w:tmpl w:val="061A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C39A9"/>
    <w:multiLevelType w:val="hybridMultilevel"/>
    <w:tmpl w:val="AC3A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B216F"/>
    <w:multiLevelType w:val="hybridMultilevel"/>
    <w:tmpl w:val="9AA6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C7"/>
    <w:rsid w:val="000A3069"/>
    <w:rsid w:val="000A79D0"/>
    <w:rsid w:val="002368CE"/>
    <w:rsid w:val="0026006B"/>
    <w:rsid w:val="0034035F"/>
    <w:rsid w:val="00390107"/>
    <w:rsid w:val="003A2CBF"/>
    <w:rsid w:val="003B41B1"/>
    <w:rsid w:val="003C4364"/>
    <w:rsid w:val="00552CC3"/>
    <w:rsid w:val="005E738B"/>
    <w:rsid w:val="00620179"/>
    <w:rsid w:val="006A386F"/>
    <w:rsid w:val="007928C7"/>
    <w:rsid w:val="008F5209"/>
    <w:rsid w:val="009C181F"/>
    <w:rsid w:val="00A154DD"/>
    <w:rsid w:val="00B742EC"/>
    <w:rsid w:val="00C04010"/>
    <w:rsid w:val="00C734E7"/>
    <w:rsid w:val="00D04774"/>
    <w:rsid w:val="00D7715F"/>
    <w:rsid w:val="00F16024"/>
    <w:rsid w:val="00FD3C04"/>
    <w:rsid w:val="00FF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4CB76"/>
  <w15:chartTrackingRefBased/>
  <w15:docId w15:val="{FF70B89A-2BA1-B941-9DE5-AADBEAE6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C7"/>
    <w:pPr>
      <w:spacing w:before="120" w:after="100" w:afterAutospacing="1"/>
    </w:pPr>
  </w:style>
  <w:style w:type="paragraph" w:styleId="Heading1">
    <w:name w:val="heading 1"/>
    <w:basedOn w:val="Normal"/>
    <w:next w:val="Normal"/>
    <w:link w:val="Heading1Char"/>
    <w:autoRedefine/>
    <w:uiPriority w:val="9"/>
    <w:qFormat/>
    <w:rsid w:val="007928C7"/>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C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0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15F"/>
    <w:pPr>
      <w:ind w:left="720"/>
      <w:contextualSpacing/>
    </w:pPr>
  </w:style>
  <w:style w:type="character" w:customStyle="1" w:styleId="Heading2Char">
    <w:name w:val="Heading 2 Char"/>
    <w:basedOn w:val="DefaultParagraphFont"/>
    <w:link w:val="Heading2"/>
    <w:uiPriority w:val="9"/>
    <w:rsid w:val="008F520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04774"/>
    <w:pPr>
      <w:spacing w:before="0" w:after="0"/>
    </w:pPr>
    <w:rPr>
      <w:sz w:val="20"/>
      <w:szCs w:val="20"/>
    </w:rPr>
  </w:style>
  <w:style w:type="character" w:customStyle="1" w:styleId="FootnoteTextChar">
    <w:name w:val="Footnote Text Char"/>
    <w:basedOn w:val="DefaultParagraphFont"/>
    <w:link w:val="FootnoteText"/>
    <w:uiPriority w:val="99"/>
    <w:semiHidden/>
    <w:rsid w:val="00D04774"/>
    <w:rPr>
      <w:sz w:val="20"/>
      <w:szCs w:val="20"/>
    </w:rPr>
  </w:style>
  <w:style w:type="character" w:styleId="FootnoteReference">
    <w:name w:val="footnote reference"/>
    <w:basedOn w:val="DefaultParagraphFont"/>
    <w:uiPriority w:val="99"/>
    <w:semiHidden/>
    <w:unhideWhenUsed/>
    <w:rsid w:val="00D04774"/>
    <w:rPr>
      <w:vertAlign w:val="superscript"/>
    </w:rPr>
  </w:style>
  <w:style w:type="paragraph" w:styleId="Header">
    <w:name w:val="header"/>
    <w:basedOn w:val="Normal"/>
    <w:link w:val="HeaderChar"/>
    <w:uiPriority w:val="99"/>
    <w:unhideWhenUsed/>
    <w:rsid w:val="000A79D0"/>
    <w:pPr>
      <w:tabs>
        <w:tab w:val="center" w:pos="4680"/>
        <w:tab w:val="right" w:pos="9360"/>
      </w:tabs>
      <w:spacing w:before="0" w:after="0"/>
    </w:pPr>
  </w:style>
  <w:style w:type="character" w:customStyle="1" w:styleId="HeaderChar">
    <w:name w:val="Header Char"/>
    <w:basedOn w:val="DefaultParagraphFont"/>
    <w:link w:val="Header"/>
    <w:uiPriority w:val="99"/>
    <w:rsid w:val="000A79D0"/>
  </w:style>
  <w:style w:type="paragraph" w:styleId="Footer">
    <w:name w:val="footer"/>
    <w:basedOn w:val="Normal"/>
    <w:link w:val="FooterChar"/>
    <w:uiPriority w:val="99"/>
    <w:unhideWhenUsed/>
    <w:rsid w:val="000A79D0"/>
    <w:pPr>
      <w:tabs>
        <w:tab w:val="center" w:pos="4680"/>
        <w:tab w:val="right" w:pos="9360"/>
      </w:tabs>
      <w:spacing w:before="0" w:after="0"/>
    </w:pPr>
  </w:style>
  <w:style w:type="character" w:customStyle="1" w:styleId="FooterChar">
    <w:name w:val="Footer Char"/>
    <w:basedOn w:val="DefaultParagraphFont"/>
    <w:link w:val="Footer"/>
    <w:uiPriority w:val="99"/>
    <w:rsid w:val="000A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27E85-A888-5E49-AA70-429FCEA7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5</cp:revision>
  <dcterms:created xsi:type="dcterms:W3CDTF">2022-04-30T04:28:00Z</dcterms:created>
  <dcterms:modified xsi:type="dcterms:W3CDTF">2022-05-06T20:56:00Z</dcterms:modified>
</cp:coreProperties>
</file>