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91B27" w14:textId="3E6A62B5" w:rsidR="00151E08" w:rsidRDefault="00335D01">
      <w:r w:rsidRPr="00335D01">
        <w:t>α1-Antitrypsin (AAT) deficiency</w:t>
      </w:r>
      <w:r>
        <w:t xml:space="preserve"> results, a relatively common (1/3,000 individuals) genetic disorder, in increased activity of neutrophil elastase, resulting in early onset emphysema and chronic obstructive pulmonary disease. Specific AAT variants can also aggregate in hepatocytes leading to cell death and liver disease which can occur at any age. AAT deficiency. Definitive diagnosis of AAT deficiency is most often accomplished in the clinical laboratory using a combination of biochemical and/or genetic tests with the definitive AAT phenotype determined by isoelectric focusing (IEF) and is considered the gold-standard test for identifying AAT variants. The M, S, and Z variants are </w:t>
      </w:r>
      <w:proofErr w:type="gramStart"/>
      <w:r>
        <w:t>most commonly observed</w:t>
      </w:r>
      <w:proofErr w:type="gramEnd"/>
      <w:r>
        <w:t xml:space="preserve"> </w:t>
      </w:r>
      <w:proofErr w:type="gramStart"/>
      <w:r>
        <w:t>bands</w:t>
      </w:r>
      <w:proofErr w:type="gramEnd"/>
      <w:r>
        <w:t xml:space="preserve"> and each phenotype has multiple bands associated with its phenotypic pattern.</w:t>
      </w:r>
    </w:p>
    <w:p w14:paraId="3BDDF967" w14:textId="77777777" w:rsidR="00335D01" w:rsidRDefault="00335D01"/>
    <w:tbl>
      <w:tblPr>
        <w:tblStyle w:val="TableGrid"/>
        <w:tblW w:w="0" w:type="auto"/>
        <w:tblLook w:val="04A0" w:firstRow="1" w:lastRow="0" w:firstColumn="1" w:lastColumn="0" w:noHBand="0" w:noVBand="1"/>
      </w:tblPr>
      <w:tblGrid>
        <w:gridCol w:w="1558"/>
        <w:gridCol w:w="1558"/>
      </w:tblGrid>
      <w:tr w:rsidR="00335D01" w14:paraId="189D849D" w14:textId="77777777" w:rsidTr="00335D01">
        <w:tc>
          <w:tcPr>
            <w:tcW w:w="1558" w:type="dxa"/>
          </w:tcPr>
          <w:p w14:paraId="142EC121" w14:textId="140F33EA" w:rsidR="00335D01" w:rsidRDefault="00335D01">
            <w:r>
              <w:t>Variant</w:t>
            </w:r>
          </w:p>
        </w:tc>
        <w:tc>
          <w:tcPr>
            <w:tcW w:w="1558" w:type="dxa"/>
          </w:tcPr>
          <w:p w14:paraId="60B3D472" w14:textId="4D67E9D6" w:rsidR="00335D01" w:rsidRDefault="00335D01">
            <w:r>
              <w:t>Count</w:t>
            </w:r>
          </w:p>
        </w:tc>
      </w:tr>
      <w:tr w:rsidR="00335D01" w14:paraId="13E563AA" w14:textId="77777777" w:rsidTr="00335D01">
        <w:tc>
          <w:tcPr>
            <w:tcW w:w="1558" w:type="dxa"/>
          </w:tcPr>
          <w:p w14:paraId="6DF52B23" w14:textId="26828438" w:rsidR="00335D01" w:rsidRDefault="00335D01">
            <w:r>
              <w:t>M</w:t>
            </w:r>
          </w:p>
        </w:tc>
        <w:tc>
          <w:tcPr>
            <w:tcW w:w="1558" w:type="dxa"/>
          </w:tcPr>
          <w:p w14:paraId="7184CF14" w14:textId="77777777" w:rsidR="00335D01" w:rsidRDefault="00335D01"/>
        </w:tc>
      </w:tr>
      <w:tr w:rsidR="00335D01" w14:paraId="21BA631D" w14:textId="77777777" w:rsidTr="00335D01">
        <w:tc>
          <w:tcPr>
            <w:tcW w:w="1558" w:type="dxa"/>
          </w:tcPr>
          <w:p w14:paraId="622D1FE3" w14:textId="12C285E2" w:rsidR="00335D01" w:rsidRDefault="00335D01">
            <w:r>
              <w:t>S</w:t>
            </w:r>
          </w:p>
        </w:tc>
        <w:tc>
          <w:tcPr>
            <w:tcW w:w="1558" w:type="dxa"/>
          </w:tcPr>
          <w:p w14:paraId="782D2AF7" w14:textId="77777777" w:rsidR="00335D01" w:rsidRDefault="00335D01"/>
        </w:tc>
      </w:tr>
      <w:tr w:rsidR="00335D01" w14:paraId="09155D51" w14:textId="77777777" w:rsidTr="00335D01">
        <w:tc>
          <w:tcPr>
            <w:tcW w:w="1558" w:type="dxa"/>
          </w:tcPr>
          <w:p w14:paraId="288D7B76" w14:textId="4B96EBB8" w:rsidR="00335D01" w:rsidRDefault="00335D01">
            <w:r>
              <w:t>Z</w:t>
            </w:r>
          </w:p>
        </w:tc>
        <w:tc>
          <w:tcPr>
            <w:tcW w:w="1558" w:type="dxa"/>
          </w:tcPr>
          <w:p w14:paraId="56C61B62" w14:textId="77777777" w:rsidR="00335D01" w:rsidRDefault="00335D01"/>
        </w:tc>
      </w:tr>
      <w:tr w:rsidR="00335D01" w14:paraId="22D9AE69" w14:textId="77777777" w:rsidTr="00335D01">
        <w:tc>
          <w:tcPr>
            <w:tcW w:w="1558" w:type="dxa"/>
          </w:tcPr>
          <w:p w14:paraId="38339AFD" w14:textId="77DDC9A8" w:rsidR="00335D01" w:rsidRDefault="00335D01">
            <w:r>
              <w:t>F</w:t>
            </w:r>
          </w:p>
        </w:tc>
        <w:tc>
          <w:tcPr>
            <w:tcW w:w="1558" w:type="dxa"/>
          </w:tcPr>
          <w:p w14:paraId="2ECDA903" w14:textId="77777777" w:rsidR="00335D01" w:rsidRDefault="00335D01"/>
        </w:tc>
      </w:tr>
    </w:tbl>
    <w:p w14:paraId="4F9E83AA" w14:textId="77777777" w:rsidR="00335D01" w:rsidRPr="00335D01" w:rsidRDefault="00335D01"/>
    <w:sectPr w:rsidR="00335D01" w:rsidRPr="00335D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D01"/>
    <w:rsid w:val="00151E08"/>
    <w:rsid w:val="00335D01"/>
    <w:rsid w:val="00DF1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602DA"/>
  <w15:chartTrackingRefBased/>
  <w15:docId w15:val="{BC54CCB5-CE16-464F-90C3-70D214DD3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5D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5D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5D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5D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5D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5D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D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D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D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D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5D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5D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5D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5D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5D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D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D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D01"/>
    <w:rPr>
      <w:rFonts w:eastAsiaTheme="majorEastAsia" w:cstheme="majorBidi"/>
      <w:color w:val="272727" w:themeColor="text1" w:themeTint="D8"/>
    </w:rPr>
  </w:style>
  <w:style w:type="paragraph" w:styleId="Title">
    <w:name w:val="Title"/>
    <w:basedOn w:val="Normal"/>
    <w:next w:val="Normal"/>
    <w:link w:val="TitleChar"/>
    <w:uiPriority w:val="10"/>
    <w:qFormat/>
    <w:rsid w:val="00335D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5D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5D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5D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5D01"/>
    <w:pPr>
      <w:spacing w:before="160"/>
      <w:jc w:val="center"/>
    </w:pPr>
    <w:rPr>
      <w:i/>
      <w:iCs/>
      <w:color w:val="404040" w:themeColor="text1" w:themeTint="BF"/>
    </w:rPr>
  </w:style>
  <w:style w:type="character" w:customStyle="1" w:styleId="QuoteChar">
    <w:name w:val="Quote Char"/>
    <w:basedOn w:val="DefaultParagraphFont"/>
    <w:link w:val="Quote"/>
    <w:uiPriority w:val="29"/>
    <w:rsid w:val="00335D01"/>
    <w:rPr>
      <w:i/>
      <w:iCs/>
      <w:color w:val="404040" w:themeColor="text1" w:themeTint="BF"/>
    </w:rPr>
  </w:style>
  <w:style w:type="paragraph" w:styleId="ListParagraph">
    <w:name w:val="List Paragraph"/>
    <w:basedOn w:val="Normal"/>
    <w:uiPriority w:val="34"/>
    <w:qFormat/>
    <w:rsid w:val="00335D01"/>
    <w:pPr>
      <w:ind w:left="720"/>
      <w:contextualSpacing/>
    </w:pPr>
  </w:style>
  <w:style w:type="character" w:styleId="IntenseEmphasis">
    <w:name w:val="Intense Emphasis"/>
    <w:basedOn w:val="DefaultParagraphFont"/>
    <w:uiPriority w:val="21"/>
    <w:qFormat/>
    <w:rsid w:val="00335D01"/>
    <w:rPr>
      <w:i/>
      <w:iCs/>
      <w:color w:val="0F4761" w:themeColor="accent1" w:themeShade="BF"/>
    </w:rPr>
  </w:style>
  <w:style w:type="paragraph" w:styleId="IntenseQuote">
    <w:name w:val="Intense Quote"/>
    <w:basedOn w:val="Normal"/>
    <w:next w:val="Normal"/>
    <w:link w:val="IntenseQuoteChar"/>
    <w:uiPriority w:val="30"/>
    <w:qFormat/>
    <w:rsid w:val="00335D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5D01"/>
    <w:rPr>
      <w:i/>
      <w:iCs/>
      <w:color w:val="0F4761" w:themeColor="accent1" w:themeShade="BF"/>
    </w:rPr>
  </w:style>
  <w:style w:type="character" w:styleId="IntenseReference">
    <w:name w:val="Intense Reference"/>
    <w:basedOn w:val="DefaultParagraphFont"/>
    <w:uiPriority w:val="32"/>
    <w:qFormat/>
    <w:rsid w:val="00335D01"/>
    <w:rPr>
      <w:b/>
      <w:bCs/>
      <w:smallCaps/>
      <w:color w:val="0F4761" w:themeColor="accent1" w:themeShade="BF"/>
      <w:spacing w:val="5"/>
    </w:rPr>
  </w:style>
  <w:style w:type="table" w:styleId="TableGrid">
    <w:name w:val="Table Grid"/>
    <w:basedOn w:val="TableNormal"/>
    <w:uiPriority w:val="39"/>
    <w:rsid w:val="00335D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90794cc-8ced-4156-9787-a1fbf819c752}" enabled="1" method="Standard" siteId="{a25fff9c-3f63-4fb2-9a8a-d9bdd0321f9a}" contentBits="0"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1</Pages>
  <Words>97</Words>
  <Characters>732</Characters>
  <Application>Microsoft Office Word</Application>
  <DocSecurity>0</DocSecurity>
  <Lines>24</Lines>
  <Paragraphs>26</Paragraphs>
  <ScaleCrop>false</ScaleCrop>
  <Company>Mayo Clinic</Company>
  <LinksUpToDate>false</LinksUpToDate>
  <CharactersWithSpaces>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Vieni, Casey R., M.D., Ph.D.</dc:creator>
  <cp:keywords/>
  <dc:description/>
  <cp:lastModifiedBy>Vieni, Casey R., M.D., Ph.D.</cp:lastModifiedBy>
  <cp:revision>1</cp:revision>
  <dcterms:created xsi:type="dcterms:W3CDTF">2025-12-12T19:08:00Z</dcterms:created>
  <dcterms:modified xsi:type="dcterms:W3CDTF">2025-12-12T19:16:00Z</dcterms:modified>
</cp:coreProperties>
</file>