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NoticeGuard: Devpost input from Tim</w:t>
      </w:r>
    </w:p>
    <w:p>
      <w:pPr>
        <w:spacing w:after="120"/>
      </w:pPr>
      <w:r>
        <w:rPr>
          <w:i/>
          <w:iCs/>
        </w:rPr>
        <w:t xml:space="preserve">Filled 27 September 2026. Everything below is checked against the repository, the README and the deployed site. Notes in orange are for the person assembling the Devpost page and should be deleted before publishing.</w:t>
      </w:r>
    </w:p>
    <w:p>
      <w:pPr>
        <w:pStyle w:val="Heading1"/>
      </w:pPr>
      <w:r>
        <w:t xml:space="preserve">How we built it</w:t>
      </w:r>
    </w:p>
    <w:p>
      <w:pPr>
        <w:pStyle w:val="ListParagraph"/>
        <w:numPr>
          <w:ilvl w:val="0"/>
          <w:numId w:val="2"/>
        </w:numPr>
        <w:spacing w:after="60"/>
      </w:pPr>
      <w:r>
        <w:rPr>
          <w:b/>
          <w:bCs/>
        </w:rPr>
        <w:t xml:space="preserve">Fact finding. </w:t>
      </w:r>
      <w:r>
        <w:t xml:space="preserve">A language model reads each document and wraps the phrases that matter in tags, inside the original text. Code then strips the tags and checks that what is left is the document, byte for byte. If it is not, the whole extraction for that document is rejected and retried once with the differences shown. The model never types a value and never decides anything.</w:t>
      </w:r>
    </w:p>
    <w:p>
      <w:pPr>
        <w:pStyle w:val="ListParagraph"/>
        <w:numPr>
          <w:ilvl w:val="0"/>
          <w:numId w:val="2"/>
        </w:numPr>
        <w:spacing w:after="60"/>
      </w:pPr>
      <w:r>
        <w:rPr>
          <w:b/>
          <w:bCs/>
        </w:rPr>
        <w:t xml:space="preserve">Parsing in code. </w:t>
      </w:r>
      <w:r>
        <w:t xml:space="preserve">Dates (day-first), licence versions, order numbers and category labels are derived in code from the tagged phrase, so a fact can always be traced to an exact quote, file and line.</w:t>
      </w:r>
    </w:p>
    <w:p>
      <w:pPr>
        <w:pStyle w:val="ListParagraph"/>
        <w:numPr>
          <w:ilvl w:val="0"/>
          <w:numId w:val="2"/>
        </w:numPr>
        <w:spacing w:after="60"/>
      </w:pPr>
      <w:r>
        <w:rPr>
          <w:b/>
          <w:bCs/>
        </w:rPr>
        <w:t xml:space="preserve">Repeated judgement. </w:t>
      </w:r>
      <w:r>
        <w:t xml:space="preserve">Wording that needs interpretation, such as whether "monetised video on social platforms" covers a monetised ClipStream channel, is asked three times at temperature 0.7. A permission counts only when all three runs agree. If they disagree about a permission, the result is Needs an adviser. A clear permission is only defeated by a clear exclusion, and any disagreement is shown in the evidence chain rather than smoothed over.</w:t>
      </w:r>
    </w:p>
    <w:p>
      <w:pPr>
        <w:pStyle w:val="ListParagraph"/>
        <w:numPr>
          <w:ilvl w:val="0"/>
          <w:numId w:val="2"/>
        </w:numPr>
        <w:spacing w:after="60"/>
      </w:pPr>
      <w:r>
        <w:rPr>
          <w:b/>
          <w:bCs/>
        </w:rPr>
        <w:t xml:space="preserve">Versioned rules. </w:t>
      </w:r>
      <w:r>
        <w:t xml:space="preserve">A deterministic rules engine (R0 to R10, rules version 0.1.0, defined in rules.yaml) maps confirmed facts to each part of the statement the creator would sign, decides the verdict and ranks the routes lowest risk first. The rules see only the fact table, the chosen step and the structured "about you" fields. The free-text Notes box never reaches them, so a leading question gets the same answer as a neutral one.</w:t>
      </w:r>
    </w:p>
    <w:p>
      <w:pPr>
        <w:pStyle w:val="ListParagraph"/>
        <w:numPr>
          <w:ilvl w:val="0"/>
          <w:numId w:val="2"/>
        </w:numPr>
        <w:spacing w:after="60"/>
      </w:pPr>
      <w:r>
        <w:rPr>
          <w:b/>
          <w:bCs/>
        </w:rPr>
        <w:t xml:space="preserve">Evidence view. </w:t>
      </w:r>
      <w:r>
        <w:t xml:space="preserve">Every sentence on screen clicks through Document, Quote, Fact, Rule, Status. For PDFs the quote is located by character offset in the extracted text and highlighted in place.</w:t>
      </w:r>
    </w:p>
    <w:p>
      <w:pPr>
        <w:pStyle w:val="ListParagraph"/>
        <w:numPr>
          <w:ilvl w:val="0"/>
          <w:numId w:val="2"/>
        </w:numPr>
        <w:spacing w:after="60"/>
      </w:pPr>
      <w:r>
        <w:rPr>
          <w:b/>
          <w:bCs/>
        </w:rPr>
        <w:t xml:space="preserve">Draft with a post-check. </w:t>
      </w:r>
      <w:r>
        <w:t xml:space="preserve">A draft is prepared only when evidence is ready, only from confirmed facts, and is re-checked so it cannot contain a date, ID, clause or name that is not in the fact table. There is no Submit button. Nothing is filed.</w:t>
      </w:r>
    </w:p>
    <w:p>
      <w:pPr>
        <w:pStyle w:val="ListParagraph"/>
        <w:numPr>
          <w:ilvl w:val="0"/>
          <w:numId w:val="2"/>
        </w:numPr>
        <w:spacing w:after="60"/>
      </w:pPr>
      <w:r>
        <w:rPr>
          <w:b/>
          <w:bCs/>
        </w:rPr>
        <w:t xml:space="preserve">Stack. </w:t>
      </w:r>
      <w:r>
        <w:t xml:space="preserve">Python 3.12, FastAPI, Pydantic v2, pypdf, python-dateutil, PyYAML and SQLite on the back end. Gemini 3.8 Flash through the google-genai SDK for tagging and the repeated interpretation calls. Vanilla HTML, CSS and JavaScript with the Source Serif 4 typeface, no build step. Docker behind Caddy on a Hetzner server. Tests in pytest and node:test. Built with Claude Code, with the Impeccable design skill for the interface. See the separate Tech Stack document for the full list.</w:t>
      </w:r>
    </w:p>
    <w:p>
      <w:pPr>
        <w:spacing w:after="120"/>
      </w:pPr>
      <w:r>
        <w:t xml:space="preserve">All demo documents are synthetic. Glasswork Audio, Northline Rights, ClipStream and "Glasslight" do not exist. The model responses for the demo cases are cached and committed, so the recorded demo plays back identically and works offline. New uploads call the model live.</w:t>
      </w:r>
    </w:p>
    <w:p>
      <w:pPr>
        <w:pStyle w:val="Heading1"/>
      </w:pPr>
      <w:r>
        <w:t xml:space="preserve">Challenges we ran into</w:t>
      </w:r>
    </w:p>
    <w:p>
      <w:pPr>
        <w:pStyle w:val="ListParagraph"/>
        <w:numPr>
          <w:ilvl w:val="0"/>
          <w:numId w:val="2"/>
        </w:numPr>
        <w:spacing w:after="60"/>
      </w:pPr>
      <w:r>
        <w:rPr>
          <w:b/>
          <w:bCs/>
        </w:rPr>
        <w:t xml:space="preserve">Chatbots are good at reading licences. </w:t>
      </w:r>
      <w:r>
        <w:t xml:space="preserve">When we tested a general chatbot on Maya's licence, it read the clauses correctly. Then it handed the checking back: "find your original order confirmation", "check whether that video is monetised". That changed how we see our edge. It is not reading the licence, it is doing the checking against the creator's own documents and showing the proof.</w:t>
      </w:r>
    </w:p>
    <w:p>
      <w:pPr>
        <w:pStyle w:val="ListParagraph"/>
        <w:numPr>
          <w:ilvl w:val="0"/>
          <w:numId w:val="2"/>
        </w:numPr>
        <w:spacing w:after="60"/>
      </w:pPr>
      <w:r>
        <w:rPr>
          <w:b/>
          <w:bCs/>
        </w:rPr>
        <w:t xml:space="preserve">Licence versions and dates. </w:t>
      </w:r>
      <w:r>
        <w:t xml:space="preserve">The same track can sit under different terms depending on the purchase date. Maya bought under v2 in March 2025; the licensor's website now shows v3, which excludes monetised use on the Standard tier. Getting "which version governs" right needed a rule that reads the purchase date, the version on the receipt and certificate, and the governing-terms clause in both the certificate and the current terms.</w:t>
      </w:r>
    </w:p>
    <w:p>
      <w:pPr>
        <w:pStyle w:val="ListParagraph"/>
        <w:numPr>
          <w:ilvl w:val="0"/>
          <w:numId w:val="2"/>
        </w:numPr>
        <w:spacing w:after="60"/>
      </w:pPr>
      <w:r>
        <w:rPr>
          <w:b/>
          <w:bCs/>
        </w:rPr>
        <w:t xml:space="preserve">A clear permission versus an unclear restriction. </w:t>
      </w:r>
      <w:r>
        <w:t xml:space="preserve">The first real run sent Maya, who should be ready, to an adviser: the model had tagged "Pro licence additionally permits broadcast use" as a restriction and one of three runs called it unclear. That forced us to state a precedence rule we now stand behind: a clear permission is only defeated by a clear exclusion, and the disagreement is shown rather than hidden.</w:t>
      </w:r>
    </w:p>
    <w:p>
      <w:pPr>
        <w:pStyle w:val="ListParagraph"/>
        <w:numPr>
          <w:ilvl w:val="0"/>
          <w:numId w:val="2"/>
        </w:numPr>
        <w:spacing w:after="60"/>
      </w:pPr>
      <w:r>
        <w:rPr>
          <w:b/>
          <w:bCs/>
        </w:rPr>
        <w:t xml:space="preserve">Evidence without advice. </w:t>
      </w:r>
      <w:r>
        <w:t xml:space="preserve">Every label and message had to report what the documents show without telling anyone what to do. "Confirmed by document", never "Verified"; "your evidence is ready for a dispute", never "you should dispute".</w:t>
      </w:r>
    </w:p>
    <w:p>
      <w:pPr>
        <w:pStyle w:val="ListParagraph"/>
        <w:numPr>
          <w:ilvl w:val="0"/>
          <w:numId w:val="2"/>
        </w:numPr>
        <w:spacing w:after="60"/>
      </w:pPr>
      <w:r>
        <w:rPr>
          <w:b/>
          <w:bCs/>
        </w:rPr>
        <w:t xml:space="preserve">Keeping the comparison honest. </w:t>
      </w:r>
      <w:r>
        <w:t xml:space="preserve">Our first draft compared NoticeGuard with a chatbot that had been given fewer documents. We made the comparison fair: the plain-model baseline receives the same documents and the same two prompts, and its outputs are committed unedited.</w:t>
      </w:r>
    </w:p>
    <w:p>
      <w:pPr>
        <w:spacing w:after="120"/>
      </w:pPr>
      <w:r>
        <w:rPr>
          <w:i/>
          <w:iCs/>
          <w:color w:val="8A3B12"/>
        </w:rPr>
        <w:t xml:space="preserve">Note for Tim: the chatbot test in the first bullet comes from the original draft. Keep it only if that test actually happened; I wrote "a general chatbot" rather than naming a product.</w:t>
      </w:r>
    </w:p>
    <w:p>
      <w:pPr>
        <w:pStyle w:val="Heading1"/>
      </w:pPr>
      <w:r>
        <w:t xml:space="preserve">Accomplishments that we're proud of</w:t>
      </w:r>
    </w:p>
    <w:p>
      <w:pPr>
        <w:pStyle w:val="ListParagraph"/>
        <w:numPr>
          <w:ilvl w:val="0"/>
          <w:numId w:val="2"/>
        </w:numPr>
        <w:spacing w:after="60"/>
      </w:pPr>
      <w:r>
        <w:t xml:space="preserve">A working prototype where every fact on screen traces back to an exact quote, file and line, and the golden tests assert that.</w:t>
      </w:r>
    </w:p>
    <w:p>
      <w:pPr>
        <w:pStyle w:val="ListParagraph"/>
        <w:numPr>
          <w:ilvl w:val="0"/>
          <w:numId w:val="2"/>
        </w:numPr>
        <w:spacing w:after="60"/>
      </w:pPr>
      <w:r>
        <w:t xml:space="preserve">A separate, versioned rules engine, so the AI finds facts but never decides the result. The same facts always produce the same verdict.</w:t>
      </w:r>
    </w:p>
    <w:p>
      <w:pPr>
        <w:pStyle w:val="ListParagraph"/>
        <w:numPr>
          <w:ilvl w:val="0"/>
          <w:numId w:val="2"/>
        </w:numPr>
        <w:spacing w:after="60"/>
      </w:pPr>
      <w:r>
        <w:t xml:space="preserve">An honest Needs an adviser result, which we treat as a feature, not a failure.</w:t>
      </w:r>
    </w:p>
    <w:p>
      <w:pPr>
        <w:pStyle w:val="ListParagraph"/>
        <w:numPr>
          <w:ilvl w:val="0"/>
          <w:numId w:val="2"/>
        </w:numPr>
        <w:spacing w:after="60"/>
      </w:pPr>
      <w:r>
        <w:t xml:space="preserve">A demo story a non-lawyer can follow in under a minute: the same creator and the same track, bought before and after a terms change, give different evidence and a different result.</w:t>
      </w:r>
    </w:p>
    <w:p>
      <w:pPr>
        <w:pStyle w:val="ListParagraph"/>
        <w:numPr>
          <w:ilvl w:val="0"/>
          <w:numId w:val="2"/>
        </w:numPr>
        <w:spacing w:after="60"/>
      </w:pPr>
      <w:r>
        <w:t xml:space="preserve">The Leo demo works end to end: a counter-notice is an evidence gap until the licensor's email is added live, and the "what changed" panel names the email as the fact that flipped rule R4.</w:t>
      </w:r>
    </w:p>
    <w:p>
      <w:pPr>
        <w:pStyle w:val="ListParagraph"/>
        <w:numPr>
          <w:ilvl w:val="0"/>
          <w:numId w:val="2"/>
        </w:numPr>
        <w:spacing w:after="60"/>
      </w:pPr>
      <w:r>
        <w:t xml:space="preserve">In our benchmark on 8 generated cases (3 runs each, model cache off), NoticeGuard matched the rubric in 47 of 48 runs and never produced a draft for a case that should have been a gap or an adviser referral. The same model used as a plain chatbot matched the rubric in 41.7% of neutral runs and 20.8% of leading runs, and drafted when it should not have in 14 of 48 runs.</w:t>
      </w:r>
    </w:p>
    <w:p>
      <w:pPr>
        <w:pStyle w:val="ListParagraph"/>
        <w:numPr>
          <w:ilvl w:val="0"/>
          <w:numId w:val="2"/>
        </w:numPr>
        <w:spacing w:after="60"/>
      </w:pPr>
      <w:r>
        <w:t xml:space="preserve">The post-check caught a real defect during the build: a quote shortener cut a word in half, and the draft was withheld rather than shown.</w:t>
      </w:r>
    </w:p>
    <w:p>
      <w:pPr>
        <w:spacing w:after="120"/>
      </w:pPr>
      <w:r>
        <w:rPr>
          <w:i/>
          <w:iCs/>
          <w:color w:val="8A3B12"/>
        </w:rPr>
        <w:t xml:space="preserve">Note for Tim: the benchmark ran with Claude Sonnet via the Claude CLI before the runtime moved to Gemini 3.8 Flash. The README and Devpost text already label it as a historical Claude benchmark; keep that label wherever the numbers appear.</w:t>
      </w:r>
    </w:p>
    <w:p>
      <w:pPr>
        <w:pStyle w:val="Heading1"/>
      </w:pPr>
      <w:r>
        <w:t xml:space="preserve">Built with (tags)</w:t>
      </w:r>
    </w:p>
    <w:p>
      <w:pPr>
        <w:spacing w:after="120"/>
      </w:pPr>
      <w:r>
        <w:t xml:space="preserve">python, fastapi, pydantic, uvicorn, pypdf, pyyaml, sqlite, python-dateutil, google-gemini, gemini-3.8-flash, google-genai, anthropic-claude, claude-code, javascript, html5, css3, docker, caddy, hetzner, pytest, nodejs, yaml</w:t>
      </w:r>
    </w:p>
    <w:p>
      <w:pPr>
        <w:pStyle w:val="Heading1"/>
      </w:pPr>
      <w:r>
        <w:t xml:space="preserve">Project media</w:t>
      </w:r>
    </w:p>
    <w:p>
      <w:pPr>
        <w:spacing w:after="120"/>
      </w:pPr>
      <w:r>
        <w:t xml:space="preserve">Four unedited screenshots of the deployed site are in submission/media in the repository (PNG, 1920 wide, all under 0.4 MB). Upload them to Devpost in this order with these 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400"/>
        <w:gridCol w:w="4460"/>
      </w:tblGrid>
      <w:tr>
        <w:trPr>
          <w:tblHeader/>
        </w:trPr>
        <w:tc>
          <w:tcPr>
            <w:tcW w:type="dxa" w:w="500"/>
            <w:shd w:fill="E8E4DC" w:color="auto" w:val="clear"/>
            <w:tcMar>
              <w:top w:type="dxa" w:w="60"/>
              <w:left w:type="dxa" w:w="100"/>
              <w:bottom w:type="dxa" w:w="60"/>
              <w:right w:type="dxa" w:w="100"/>
            </w:tcMar>
          </w:tcPr>
          <w:p>
            <w:r>
              <w:rPr>
                <w:b/>
                <w:bCs/>
                <w:sz w:val="20"/>
                <w:szCs w:val="20"/>
              </w:rPr>
              <w:t xml:space="preserve">#</w:t>
            </w:r>
          </w:p>
        </w:tc>
        <w:tc>
          <w:tcPr>
            <w:tcW w:type="dxa" w:w="500"/>
            <w:shd w:fill="E8E4DC" w:color="auto" w:val="clear"/>
            <w:tcMar>
              <w:top w:type="dxa" w:w="60"/>
              <w:left w:type="dxa" w:w="100"/>
              <w:bottom w:type="dxa" w:w="60"/>
              <w:right w:type="dxa" w:w="100"/>
            </w:tcMar>
          </w:tcPr>
          <w:p>
            <w:r>
              <w:rPr>
                <w:b/>
                <w:bCs/>
                <w:sz w:val="20"/>
                <w:szCs w:val="20"/>
              </w:rPr>
              <w:t xml:space="preserve">File</w:t>
            </w:r>
          </w:p>
        </w:tc>
        <w:tc>
          <w:tcPr>
            <w:tcW w:type="dxa" w:w="500"/>
            <w:shd w:fill="E8E4DC" w:color="auto" w:val="clear"/>
            <w:tcMar>
              <w:top w:type="dxa" w:w="60"/>
              <w:left w:type="dxa" w:w="100"/>
              <w:bottom w:type="dxa" w:w="60"/>
              <w:right w:type="dxa" w:w="100"/>
            </w:tcMar>
          </w:tcPr>
          <w:p>
            <w:r>
              <w:rPr>
                <w:b/>
                <w:bCs/>
                <w:sz w:val="20"/>
                <w:szCs w:val="20"/>
              </w:rPr>
              <w:t xml:space="preserve">Size</w:t>
            </w:r>
          </w:p>
        </w:tc>
        <w:tc>
          <w:tcPr>
            <w:tcW w:type="dxa" w:w="500"/>
            <w:shd w:fill="E8E4DC" w:color="auto" w:val="clear"/>
            <w:tcMar>
              <w:top w:type="dxa" w:w="60"/>
              <w:left w:type="dxa" w:w="100"/>
              <w:bottom w:type="dxa" w:w="60"/>
              <w:right w:type="dxa" w:w="100"/>
            </w:tcMar>
          </w:tcPr>
          <w:p>
            <w:r>
              <w:rPr>
                <w:b/>
                <w:bCs/>
                <w:sz w:val="20"/>
                <w:szCs w:val="20"/>
              </w:rPr>
              <w:t xml:space="preserve">Suggested caption</w:t>
            </w:r>
          </w:p>
        </w:tc>
      </w:tr>
      <w:tr>
        <w:trPr>
          <w:tblHeader w:val="false"/>
        </w:trPr>
        <w:tc>
          <w:tcPr>
            <w:tcW w:type="dxa" w:w="500"/>
            <w:tcMar>
              <w:top w:type="dxa" w:w="60"/>
              <w:left w:type="dxa" w:w="100"/>
              <w:bottom w:type="dxa" w:w="60"/>
              <w:right w:type="dxa" w:w="100"/>
            </w:tcMar>
          </w:tcPr>
          <w:p>
            <w:r>
              <w:rPr>
                <w:b w:val="false"/>
                <w:bCs w:val="false"/>
                <w:sz w:val="20"/>
                <w:szCs w:val="20"/>
              </w:rPr>
              <w:t xml:space="preserve">1</w:t>
            </w:r>
          </w:p>
        </w:tc>
        <w:tc>
          <w:tcPr>
            <w:tcW w:type="dxa" w:w="500"/>
            <w:tcMar>
              <w:top w:type="dxa" w:w="60"/>
              <w:left w:type="dxa" w:w="100"/>
              <w:bottom w:type="dxa" w:w="60"/>
              <w:right w:type="dxa" w:w="100"/>
            </w:tcMar>
          </w:tcPr>
          <w:p>
            <w:r>
              <w:rPr>
                <w:b w:val="false"/>
                <w:bCs w:val="false"/>
                <w:sz w:val="20"/>
                <w:szCs w:val="20"/>
              </w:rPr>
              <w:t xml:space="preserve">01-home.png</w:t>
            </w:r>
          </w:p>
        </w:tc>
        <w:tc>
          <w:tcPr>
            <w:tcW w:type="dxa" w:w="500"/>
            <w:tcMar>
              <w:top w:type="dxa" w:w="60"/>
              <w:left w:type="dxa" w:w="100"/>
              <w:bottom w:type="dxa" w:w="60"/>
              <w:right w:type="dxa" w:w="100"/>
            </w:tcMar>
          </w:tcPr>
          <w:p>
            <w:r>
              <w:rPr>
                <w:b w:val="false"/>
                <w:bCs w:val="false"/>
                <w:sz w:val="20"/>
                <w:szCs w:val="20"/>
              </w:rPr>
              <w:t xml:space="preserve">1920 x 1033</w:t>
            </w:r>
          </w:p>
        </w:tc>
        <w:tc>
          <w:tcPr>
            <w:tcW w:type="dxa" w:w="500"/>
            <w:tcMar>
              <w:top w:type="dxa" w:w="60"/>
              <w:left w:type="dxa" w:w="100"/>
              <w:bottom w:type="dxa" w:w="60"/>
              <w:right w:type="dxa" w:w="100"/>
            </w:tcMar>
          </w:tcPr>
          <w:p>
            <w:r>
              <w:rPr>
                <w:b w:val="false"/>
                <w:bCs w:val="false"/>
                <w:sz w:val="20"/>
                <w:szCs w:val="20"/>
              </w:rPr>
              <w:t xml:space="preserve">Home screen: upload documents or open a demo case. The AI never writes a word of your evidence; it only highlights your own.</w:t>
            </w:r>
          </w:p>
        </w:tc>
      </w:tr>
      <w:tr>
        <w:trPr>
          <w:tblHeader w:val="false"/>
        </w:trPr>
        <w:tc>
          <w:tcPr>
            <w:tcW w:type="dxa" w:w="500"/>
            <w:tcMar>
              <w:top w:type="dxa" w:w="60"/>
              <w:left w:type="dxa" w:w="100"/>
              <w:bottom w:type="dxa" w:w="60"/>
              <w:right w:type="dxa" w:w="100"/>
            </w:tcMar>
          </w:tcPr>
          <w:p>
            <w:r>
              <w:rPr>
                <w:b w:val="false"/>
                <w:bCs w:val="false"/>
                <w:sz w:val="20"/>
                <w:szCs w:val="20"/>
              </w:rPr>
              <w:t xml:space="preserve">2</w:t>
            </w:r>
          </w:p>
        </w:tc>
        <w:tc>
          <w:tcPr>
            <w:tcW w:type="dxa" w:w="500"/>
            <w:tcMar>
              <w:top w:type="dxa" w:w="60"/>
              <w:left w:type="dxa" w:w="100"/>
              <w:bottom w:type="dxa" w:w="60"/>
              <w:right w:type="dxa" w:w="100"/>
            </w:tcMar>
          </w:tcPr>
          <w:p>
            <w:r>
              <w:rPr>
                <w:b w:val="false"/>
                <w:bCs w:val="false"/>
                <w:sz w:val="20"/>
                <w:szCs w:val="20"/>
              </w:rPr>
              <w:t xml:space="preserve">02-maya-v2-evidence-view.png</w:t>
            </w:r>
          </w:p>
        </w:tc>
        <w:tc>
          <w:tcPr>
            <w:tcW w:type="dxa" w:w="500"/>
            <w:tcMar>
              <w:top w:type="dxa" w:w="60"/>
              <w:left w:type="dxa" w:w="100"/>
              <w:bottom w:type="dxa" w:w="60"/>
              <w:right w:type="dxa" w:w="100"/>
            </w:tcMar>
          </w:tcPr>
          <w:p>
            <w:r>
              <w:rPr>
                <w:b w:val="false"/>
                <w:bCs w:val="false"/>
                <w:sz w:val="20"/>
                <w:szCs w:val="20"/>
              </w:rPr>
              <w:t xml:space="preserve">1920 x 1036</w:t>
            </w:r>
          </w:p>
        </w:tc>
        <w:tc>
          <w:tcPr>
            <w:tcW w:type="dxa" w:w="500"/>
            <w:tcMar>
              <w:top w:type="dxa" w:w="60"/>
              <w:left w:type="dxa" w:w="100"/>
              <w:bottom w:type="dxa" w:w="60"/>
              <w:right w:type="dxa" w:w="100"/>
            </w:tcMar>
          </w:tcPr>
          <w:p>
            <w:r>
              <w:rPr>
                <w:b w:val="false"/>
                <w:bCs w:val="false"/>
                <w:sz w:val="20"/>
                <w:szCs w:val="20"/>
              </w:rPr>
              <w:t xml:space="preserve">Maya, v2 licence: the certificate PDF with highlights overlaid, the claim journey on the left, and the finding "Today's terms are not your purchase terms" with the exact quote from §6.1.</w:t>
            </w:r>
          </w:p>
        </w:tc>
      </w:tr>
      <w:tr>
        <w:trPr>
          <w:tblHeader w:val="false"/>
        </w:trPr>
        <w:tc>
          <w:tcPr>
            <w:tcW w:type="dxa" w:w="500"/>
            <w:tcMar>
              <w:top w:type="dxa" w:w="60"/>
              <w:left w:type="dxa" w:w="100"/>
              <w:bottom w:type="dxa" w:w="60"/>
              <w:right w:type="dxa" w:w="100"/>
            </w:tcMar>
          </w:tcPr>
          <w:p>
            <w:r>
              <w:rPr>
                <w:b w:val="false"/>
                <w:bCs w:val="false"/>
                <w:sz w:val="20"/>
                <w:szCs w:val="20"/>
              </w:rPr>
              <w:t xml:space="preserve">3</w:t>
            </w:r>
          </w:p>
        </w:tc>
        <w:tc>
          <w:tcPr>
            <w:tcW w:type="dxa" w:w="500"/>
            <w:tcMar>
              <w:top w:type="dxa" w:w="60"/>
              <w:left w:type="dxa" w:w="100"/>
              <w:bottom w:type="dxa" w:w="60"/>
              <w:right w:type="dxa" w:w="100"/>
            </w:tcMar>
          </w:tcPr>
          <w:p>
            <w:r>
              <w:rPr>
                <w:b w:val="false"/>
                <w:bCs w:val="false"/>
                <w:sz w:val="20"/>
                <w:szCs w:val="20"/>
              </w:rPr>
              <w:t xml:space="preserve">03-maya-v2-evidence-ready.png</w:t>
            </w:r>
          </w:p>
        </w:tc>
        <w:tc>
          <w:tcPr>
            <w:tcW w:type="dxa" w:w="500"/>
            <w:tcMar>
              <w:top w:type="dxa" w:w="60"/>
              <w:left w:type="dxa" w:w="100"/>
              <w:bottom w:type="dxa" w:w="60"/>
              <w:right w:type="dxa" w:w="100"/>
            </w:tcMar>
          </w:tcPr>
          <w:p>
            <w:r>
              <w:rPr>
                <w:b w:val="false"/>
                <w:bCs w:val="false"/>
                <w:sz w:val="20"/>
                <w:szCs w:val="20"/>
              </w:rPr>
              <w:t xml:space="preserve">1920 x 1037</w:t>
            </w:r>
          </w:p>
        </w:tc>
        <w:tc>
          <w:tcPr>
            <w:tcW w:type="dxa" w:w="500"/>
            <w:tcMar>
              <w:top w:type="dxa" w:w="60"/>
              <w:left w:type="dxa" w:w="100"/>
              <w:bottom w:type="dxa" w:w="60"/>
              <w:right w:type="dxa" w:w="100"/>
            </w:tcMar>
          </w:tcPr>
          <w:p>
            <w:r>
              <w:rPr>
                <w:b w:val="false"/>
                <w:bCs w:val="false"/>
                <w:sz w:val="20"/>
                <w:szCs w:val="20"/>
              </w:rPr>
              <w:t xml:space="preserve">Maya, v2 licence: Evidence ready for a dispute. Lowest-risk route first (ask the licensor to have Northline Rights release the claim); each statement component shows Supported with its quote and clause.</w:t>
            </w:r>
          </w:p>
        </w:tc>
      </w:tr>
      <w:tr>
        <w:trPr>
          <w:tblHeader w:val="false"/>
        </w:trPr>
        <w:tc>
          <w:tcPr>
            <w:tcW w:type="dxa" w:w="500"/>
            <w:tcMar>
              <w:top w:type="dxa" w:w="60"/>
              <w:left w:type="dxa" w:w="100"/>
              <w:bottom w:type="dxa" w:w="60"/>
              <w:right w:type="dxa" w:w="100"/>
            </w:tcMar>
          </w:tcPr>
          <w:p>
            <w:r>
              <w:rPr>
                <w:b w:val="false"/>
                <w:bCs w:val="false"/>
                <w:sz w:val="20"/>
                <w:szCs w:val="20"/>
              </w:rPr>
              <w:t xml:space="preserve">4</w:t>
            </w:r>
          </w:p>
        </w:tc>
        <w:tc>
          <w:tcPr>
            <w:tcW w:type="dxa" w:w="500"/>
            <w:tcMar>
              <w:top w:type="dxa" w:w="60"/>
              <w:left w:type="dxa" w:w="100"/>
              <w:bottom w:type="dxa" w:w="60"/>
              <w:right w:type="dxa" w:w="100"/>
            </w:tcMar>
          </w:tcPr>
          <w:p>
            <w:r>
              <w:rPr>
                <w:b w:val="false"/>
                <w:bCs w:val="false"/>
                <w:sz w:val="20"/>
                <w:szCs w:val="20"/>
              </w:rPr>
              <w:t xml:space="preserve">04-maya-v3-evidence-gap.png</w:t>
            </w:r>
          </w:p>
        </w:tc>
        <w:tc>
          <w:tcPr>
            <w:tcW w:type="dxa" w:w="500"/>
            <w:tcMar>
              <w:top w:type="dxa" w:w="60"/>
              <w:left w:type="dxa" w:w="100"/>
              <w:bottom w:type="dxa" w:w="60"/>
              <w:right w:type="dxa" w:w="100"/>
            </w:tcMar>
          </w:tcPr>
          <w:p>
            <w:r>
              <w:rPr>
                <w:b w:val="false"/>
                <w:bCs w:val="false"/>
                <w:sz w:val="20"/>
                <w:szCs w:val="20"/>
              </w:rPr>
              <w:t xml:space="preserve">1920 x 1035</w:t>
            </w:r>
          </w:p>
        </w:tc>
        <w:tc>
          <w:tcPr>
            <w:tcW w:type="dxa" w:w="500"/>
            <w:tcMar>
              <w:top w:type="dxa" w:w="60"/>
              <w:left w:type="dxa" w:w="100"/>
              <w:bottom w:type="dxa" w:w="60"/>
              <w:right w:type="dxa" w:w="100"/>
            </w:tcMar>
          </w:tcPr>
          <w:p>
            <w:r>
              <w:rPr>
                <w:b w:val="false"/>
                <w:bCs w:val="false"/>
                <w:sz w:val="20"/>
                <w:szCs w:val="20"/>
              </w:rPr>
              <w:t xml:space="preserve">Maya, what-if v3 purchase: Evidence gap. The monetised-use component is Not supported, with v3 §4.1 quoted from the certificate. No draft is produced.</w:t>
            </w:r>
          </w:p>
        </w:tc>
      </w:tr>
    </w:tbl>
    <w:p>
      <w:pPr>
        <w:spacing w:after="120"/>
      </w:pPr>
      <w:r>
        <w:rPr>
          <w:i/>
          <w:iCs/>
          <w:color w:val="8A3B12"/>
        </w:rPr>
        <w:t xml:space="preserve">Note for Tim: the demo video (Bernard's 90-second recording) is not in the repository. Devpost needs it hosted on YouTube, Vimeo or Loom and no longer than three minutes.</w:t>
      </w:r>
    </w:p>
    <w:p>
      <w:pPr>
        <w:pStyle w:val="Heading1"/>
      </w:pPr>
      <w:r>
        <w:t xml:space="preserve">"Try it out" demo links</w:t>
      </w:r>
    </w:p>
    <w:p>
      <w:pPr>
        <w:pStyle w:val="ListParagraph"/>
        <w:numPr>
          <w:ilvl w:val="0"/>
          <w:numId w:val="2"/>
        </w:numPr>
        <w:spacing w:after="60"/>
      </w:pPr>
      <w:r>
        <w:rPr>
          <w:b/>
          <w:bCs/>
        </w:rPr>
        <w:t xml:space="preserve">Live app: </w:t>
      </w:r>
      <w:hyperlink w:history="1" r:id="rIdtxlk2bhwdkmiylakjcbzo">
        <w:r>
          <w:rPr>
            <w:rStyle w:val="Hyperlink"/>
          </w:rPr>
          <w:t xml:space="preserve">https://noticeguard.ruleandrecord.com</w:t>
        </w:r>
      </w:hyperlink>
    </w:p>
    <w:p>
      <w:pPr>
        <w:pStyle w:val="ListParagraph"/>
        <w:numPr>
          <w:ilvl w:val="0"/>
          <w:numId w:val="2"/>
        </w:numPr>
        <w:spacing w:after="60"/>
      </w:pPr>
      <w:r>
        <w:rPr>
          <w:b/>
          <w:bCs/>
        </w:rPr>
        <w:t xml:space="preserve">Maya, v2 licence (Evidence ready): </w:t>
      </w:r>
      <w:hyperlink w:history="1" r:id="rIdz3uz3pqmpuprqh2jd6ej_">
        <w:r>
          <w:rPr>
            <w:rStyle w:val="Hyperlink"/>
          </w:rPr>
          <w:t xml:space="preserve">https://noticeguard.ruleandrecord.com/?demo=maya</w:t>
        </w:r>
      </w:hyperlink>
    </w:p>
    <w:p>
      <w:pPr>
        <w:pStyle w:val="ListParagraph"/>
        <w:numPr>
          <w:ilvl w:val="0"/>
          <w:numId w:val="2"/>
        </w:numPr>
        <w:spacing w:after="60"/>
      </w:pPr>
      <w:r>
        <w:rPr>
          <w:b/>
          <w:bCs/>
        </w:rPr>
        <w:t xml:space="preserve">Maya, what-if v3 licence (Evidence gap): </w:t>
      </w:r>
      <w:hyperlink w:history="1" r:id="rIdt1krljhc8g3wydkh0egsv">
        <w:r>
          <w:rPr>
            <w:rStyle w:val="Hyperlink"/>
          </w:rPr>
          <w:t xml:space="preserve">https://noticeguard.ruleandrecord.com/?demo=maya-v3</w:t>
        </w:r>
      </w:hyperlink>
    </w:p>
    <w:p>
      <w:pPr>
        <w:pStyle w:val="ListParagraph"/>
        <w:numPr>
          <w:ilvl w:val="0"/>
          <w:numId w:val="2"/>
        </w:numPr>
        <w:spacing w:after="60"/>
      </w:pPr>
      <w:r>
        <w:rPr>
          <w:b/>
          <w:bCs/>
        </w:rPr>
        <w:t xml:space="preserve">Leo, counter-notice with the licensor email flip: </w:t>
      </w:r>
      <w:hyperlink w:history="1" r:id="rIdv9yxeezxi3h7nej4to2sf">
        <w:r>
          <w:rPr>
            <w:rStyle w:val="Hyperlink"/>
          </w:rPr>
          <w:t xml:space="preserve">https://noticeguard.ruleandrecord.com/?demo=leo</w:t>
        </w:r>
      </w:hyperlink>
    </w:p>
    <w:p>
      <w:pPr>
        <w:pStyle w:val="ListParagraph"/>
        <w:numPr>
          <w:ilvl w:val="0"/>
          <w:numId w:val="2"/>
        </w:numPr>
        <w:spacing w:after="60"/>
      </w:pPr>
      <w:r>
        <w:rPr>
          <w:b/>
          <w:bCs/>
        </w:rPr>
        <w:t xml:space="preserve">Benchmark page with every raw output: </w:t>
      </w:r>
      <w:hyperlink w:history="1" r:id="rIdjqq-lkajfn3i_1tkxrtnd">
        <w:r>
          <w:rPr>
            <w:rStyle w:val="Hyperlink"/>
          </w:rPr>
          <w:t xml:space="preserve">https://noticeguard.ruleandrecord.com/benchmark.html</w:t>
        </w:r>
      </w:hyperlink>
    </w:p>
    <w:p>
      <w:pPr>
        <w:pStyle w:val="ListParagraph"/>
        <w:numPr>
          <w:ilvl w:val="0"/>
          <w:numId w:val="2"/>
        </w:numPr>
        <w:spacing w:after="60"/>
      </w:pPr>
      <w:r>
        <w:rPr>
          <w:b/>
          <w:bCs/>
        </w:rPr>
        <w:t xml:space="preserve">API health check: </w:t>
      </w:r>
      <w:hyperlink w:history="1" r:id="rIdcb0htobx_nnj27bk5zpmf">
        <w:r>
          <w:rPr>
            <w:rStyle w:val="Hyperlink"/>
          </w:rPr>
          <w:t xml:space="preserve">https://noticeguard.ruleandrecord.com/api/health</w:t>
        </w:r>
      </w:hyperlink>
    </w:p>
    <w:p>
      <w:pPr>
        <w:pStyle w:val="ListParagraph"/>
        <w:numPr>
          <w:ilvl w:val="0"/>
          <w:numId w:val="2"/>
        </w:numPr>
        <w:spacing w:after="60"/>
      </w:pPr>
      <w:r>
        <w:rPr>
          <w:b/>
          <w:bCs/>
        </w:rPr>
        <w:t xml:space="preserve">Source code (public GitHub): </w:t>
      </w:r>
      <w:hyperlink w:history="1" r:id="rIdsfkg08nqmilhmes90jrsw">
        <w:r>
          <w:rPr>
            <w:rStyle w:val="Hyperlink"/>
          </w:rPr>
          <w:t xml:space="preserve">https://github.com/cvikl/noticeguard</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1F1F"/>
      <w:sz w:val="32"/>
      <w:szCs w:val="32"/>
    </w:rPr>
  </w:style>
  <w:style w:type="paragraph" w:styleId="Heading2">
    <w:name w:val="Heading 2"/>
    <w:basedOn w:val="Normal"/>
    <w:next w:val="Normal"/>
    <w:qFormat/>
    <w:pPr>
      <w:spacing w:after="80" w:before="240"/>
      <w:outlineLvl w:val="1"/>
    </w:pPr>
    <w:rPr>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lk2bhwdkmiylakjcbzo" Type="http://schemas.openxmlformats.org/officeDocument/2006/relationships/hyperlink" Target="https://noticeguard.ruleandrecord.com" TargetMode="External"/><Relationship Id="rIdz3uz3pqmpuprqh2jd6ej_" Type="http://schemas.openxmlformats.org/officeDocument/2006/relationships/hyperlink" Target="https://noticeguard.ruleandrecord.com/?demo=maya" TargetMode="External"/><Relationship Id="rIdt1krljhc8g3wydkh0egsv" Type="http://schemas.openxmlformats.org/officeDocument/2006/relationships/hyperlink" Target="https://noticeguard.ruleandrecord.com/?demo=maya-v3" TargetMode="External"/><Relationship Id="rIdv9yxeezxi3h7nej4to2sf" Type="http://schemas.openxmlformats.org/officeDocument/2006/relationships/hyperlink" Target="https://noticeguard.ruleandrecord.com/?demo=leo" TargetMode="External"/><Relationship Id="rIdjqq-lkajfn3i_1tkxrtnd" Type="http://schemas.openxmlformats.org/officeDocument/2006/relationships/hyperlink" Target="https://noticeguard.ruleandrecord.com/benchmark.html" TargetMode="External"/><Relationship Id="rIdcb0htobx_nnj27bk5zpmf" Type="http://schemas.openxmlformats.org/officeDocument/2006/relationships/hyperlink" Target="https://noticeguard.ruleandrecord.com/api/health" TargetMode="External"/><Relationship Id="rIdsfkg08nqmilhmes90jrsw" Type="http://schemas.openxmlformats.org/officeDocument/2006/relationships/hyperlink" Target="https://github.com/cvikl/noticeguard"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2026-09-27T20:56:20.405Z</dcterms:created>
  <dcterms:modified xsi:type="dcterms:W3CDTF">2026-09-27T20:56:20.406Z</dcterms:modified>
</cp:coreProperties>
</file>

<file path=docProps/custom.xml><?xml version="1.0" encoding="utf-8"?>
<Properties xmlns="http://schemas.openxmlformats.org/officeDocument/2006/custom-properties" xmlns:vt="http://schemas.openxmlformats.org/officeDocument/2006/docPropsVTypes"/>
</file>