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E02B1" w14:textId="77777777" w:rsidR="00493739" w:rsidRDefault="00493739">
      <w:pPr>
        <w:spacing w:line="480" w:lineRule="auto"/>
        <w:jc w:val="center"/>
        <w:rPr>
          <w:rFonts w:ascii="Times New Roman" w:eastAsia="Times New Roman" w:hAnsi="Times New Roman" w:cs="Times New Roman"/>
          <w:sz w:val="24"/>
          <w:szCs w:val="24"/>
        </w:rPr>
      </w:pPr>
    </w:p>
    <w:p w14:paraId="06CE02B2" w14:textId="77777777" w:rsidR="00493739" w:rsidRDefault="00493739">
      <w:pPr>
        <w:spacing w:line="480" w:lineRule="auto"/>
        <w:jc w:val="center"/>
        <w:rPr>
          <w:rFonts w:ascii="Times New Roman" w:eastAsia="Times New Roman" w:hAnsi="Times New Roman" w:cs="Times New Roman"/>
          <w:sz w:val="24"/>
          <w:szCs w:val="24"/>
        </w:rPr>
      </w:pPr>
    </w:p>
    <w:p w14:paraId="06CE02B3" w14:textId="77777777" w:rsidR="00493739" w:rsidRDefault="00493739">
      <w:pPr>
        <w:spacing w:line="480" w:lineRule="auto"/>
        <w:jc w:val="center"/>
        <w:rPr>
          <w:rFonts w:ascii="Times New Roman" w:eastAsia="Times New Roman" w:hAnsi="Times New Roman" w:cs="Times New Roman"/>
          <w:sz w:val="24"/>
          <w:szCs w:val="24"/>
        </w:rPr>
      </w:pPr>
    </w:p>
    <w:p w14:paraId="06CE02B4" w14:textId="77777777" w:rsidR="00493739" w:rsidRDefault="00493739">
      <w:pPr>
        <w:spacing w:line="480" w:lineRule="auto"/>
        <w:jc w:val="center"/>
        <w:rPr>
          <w:rFonts w:ascii="Times New Roman" w:eastAsia="Times New Roman" w:hAnsi="Times New Roman" w:cs="Times New Roman"/>
          <w:sz w:val="24"/>
          <w:szCs w:val="24"/>
        </w:rPr>
      </w:pPr>
    </w:p>
    <w:p w14:paraId="06CE02B5" w14:textId="77777777" w:rsidR="00493739" w:rsidRDefault="00D6452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Project Literature and Data Review</w:t>
      </w:r>
    </w:p>
    <w:p w14:paraId="06CE02B6" w14:textId="77777777" w:rsidR="00493739" w:rsidRDefault="00493739">
      <w:pPr>
        <w:spacing w:line="480" w:lineRule="auto"/>
        <w:jc w:val="center"/>
        <w:rPr>
          <w:rFonts w:ascii="Times New Roman" w:eastAsia="Times New Roman" w:hAnsi="Times New Roman" w:cs="Times New Roman"/>
          <w:sz w:val="24"/>
          <w:szCs w:val="24"/>
        </w:rPr>
      </w:pPr>
    </w:p>
    <w:p w14:paraId="06CE02B7" w14:textId="77777777" w:rsidR="00493739" w:rsidRDefault="00D6452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Internship Practicum</w:t>
      </w:r>
    </w:p>
    <w:p w14:paraId="06CE02B8" w14:textId="77777777" w:rsidR="00493739" w:rsidRDefault="00493739">
      <w:pPr>
        <w:spacing w:line="480" w:lineRule="auto"/>
        <w:jc w:val="center"/>
        <w:rPr>
          <w:rFonts w:ascii="Times New Roman" w:eastAsia="Times New Roman" w:hAnsi="Times New Roman" w:cs="Times New Roman"/>
          <w:sz w:val="24"/>
          <w:szCs w:val="24"/>
        </w:rPr>
      </w:pPr>
    </w:p>
    <w:p w14:paraId="06CE02B9" w14:textId="77777777" w:rsidR="00493739" w:rsidRDefault="00D6452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Louis University</w:t>
      </w:r>
    </w:p>
    <w:p w14:paraId="06CE02BA" w14:textId="77777777" w:rsidR="00493739" w:rsidRDefault="00493739">
      <w:pPr>
        <w:spacing w:line="480" w:lineRule="auto"/>
        <w:jc w:val="center"/>
        <w:rPr>
          <w:rFonts w:ascii="Times New Roman" w:eastAsia="Times New Roman" w:hAnsi="Times New Roman" w:cs="Times New Roman"/>
          <w:sz w:val="24"/>
          <w:szCs w:val="24"/>
        </w:rPr>
      </w:pPr>
    </w:p>
    <w:p w14:paraId="06CE02BB" w14:textId="77777777" w:rsidR="00493739" w:rsidRDefault="00493739">
      <w:pPr>
        <w:spacing w:line="480" w:lineRule="auto"/>
        <w:jc w:val="center"/>
        <w:rPr>
          <w:rFonts w:ascii="Times New Roman" w:eastAsia="Times New Roman" w:hAnsi="Times New Roman" w:cs="Times New Roman"/>
          <w:sz w:val="24"/>
          <w:szCs w:val="24"/>
        </w:rPr>
      </w:pPr>
    </w:p>
    <w:p w14:paraId="06CE02BC" w14:textId="77777777" w:rsidR="00493739" w:rsidRDefault="00493739">
      <w:pPr>
        <w:spacing w:line="480" w:lineRule="auto"/>
        <w:rPr>
          <w:rFonts w:ascii="Times New Roman" w:eastAsia="Times New Roman" w:hAnsi="Times New Roman" w:cs="Times New Roman"/>
          <w:sz w:val="24"/>
          <w:szCs w:val="24"/>
        </w:rPr>
      </w:pPr>
    </w:p>
    <w:p w14:paraId="06CE02BD" w14:textId="77777777" w:rsidR="00493739" w:rsidRDefault="00493739">
      <w:pPr>
        <w:spacing w:line="480" w:lineRule="auto"/>
        <w:rPr>
          <w:rFonts w:ascii="Times New Roman" w:eastAsia="Times New Roman" w:hAnsi="Times New Roman" w:cs="Times New Roman"/>
          <w:sz w:val="24"/>
          <w:szCs w:val="24"/>
        </w:rPr>
      </w:pPr>
    </w:p>
    <w:p w14:paraId="06CE02BE" w14:textId="77777777" w:rsidR="00493739" w:rsidRDefault="00493739">
      <w:pPr>
        <w:spacing w:line="480" w:lineRule="auto"/>
        <w:rPr>
          <w:rFonts w:ascii="Times New Roman" w:eastAsia="Times New Roman" w:hAnsi="Times New Roman" w:cs="Times New Roman"/>
          <w:sz w:val="24"/>
          <w:szCs w:val="24"/>
        </w:rPr>
      </w:pPr>
    </w:p>
    <w:p w14:paraId="06CE02BF" w14:textId="77777777" w:rsidR="00493739" w:rsidRDefault="00D6452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Crystal Villa</w:t>
      </w:r>
    </w:p>
    <w:p w14:paraId="06CE02C0" w14:textId="77777777" w:rsidR="00493739" w:rsidRDefault="00D6452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2/2/2025</w:t>
      </w:r>
    </w:p>
    <w:p w14:paraId="06CE02C1" w14:textId="77777777" w:rsidR="00493739" w:rsidRDefault="00493739">
      <w:pPr>
        <w:spacing w:line="480" w:lineRule="auto"/>
        <w:jc w:val="center"/>
        <w:rPr>
          <w:rFonts w:ascii="Times New Roman" w:eastAsia="Times New Roman" w:hAnsi="Times New Roman" w:cs="Times New Roman"/>
          <w:sz w:val="24"/>
          <w:szCs w:val="24"/>
        </w:rPr>
      </w:pPr>
    </w:p>
    <w:p w14:paraId="06CE02C2" w14:textId="77777777" w:rsidR="00493739" w:rsidRDefault="00493739">
      <w:pPr>
        <w:spacing w:line="480" w:lineRule="auto"/>
        <w:jc w:val="center"/>
        <w:rPr>
          <w:rFonts w:ascii="Times New Roman" w:eastAsia="Times New Roman" w:hAnsi="Times New Roman" w:cs="Times New Roman"/>
          <w:sz w:val="24"/>
          <w:szCs w:val="24"/>
        </w:rPr>
      </w:pPr>
    </w:p>
    <w:p w14:paraId="06CE02C3" w14:textId="77777777" w:rsidR="00493739" w:rsidRDefault="00493739">
      <w:pPr>
        <w:spacing w:line="480" w:lineRule="auto"/>
        <w:jc w:val="center"/>
        <w:rPr>
          <w:rFonts w:ascii="Times New Roman" w:eastAsia="Times New Roman" w:hAnsi="Times New Roman" w:cs="Times New Roman"/>
          <w:sz w:val="24"/>
          <w:szCs w:val="24"/>
        </w:rPr>
      </w:pPr>
    </w:p>
    <w:p w14:paraId="06CE02C4" w14:textId="77777777" w:rsidR="00493739" w:rsidRDefault="00493739">
      <w:pPr>
        <w:spacing w:line="480" w:lineRule="auto"/>
        <w:jc w:val="center"/>
        <w:rPr>
          <w:rFonts w:ascii="Times New Roman" w:eastAsia="Times New Roman" w:hAnsi="Times New Roman" w:cs="Times New Roman"/>
          <w:sz w:val="24"/>
          <w:szCs w:val="24"/>
        </w:rPr>
      </w:pPr>
    </w:p>
    <w:p w14:paraId="06CE02C5" w14:textId="77777777" w:rsidR="00493739" w:rsidRDefault="00493739">
      <w:pPr>
        <w:spacing w:line="480" w:lineRule="auto"/>
        <w:jc w:val="center"/>
        <w:rPr>
          <w:rFonts w:ascii="Times New Roman" w:eastAsia="Times New Roman" w:hAnsi="Times New Roman" w:cs="Times New Roman"/>
          <w:sz w:val="24"/>
          <w:szCs w:val="24"/>
        </w:rPr>
      </w:pPr>
    </w:p>
    <w:p w14:paraId="06CE02C6" w14:textId="77777777" w:rsidR="00493739" w:rsidRDefault="00493739">
      <w:pPr>
        <w:spacing w:line="480" w:lineRule="auto"/>
        <w:jc w:val="center"/>
        <w:rPr>
          <w:rFonts w:ascii="Times New Roman" w:eastAsia="Times New Roman" w:hAnsi="Times New Roman" w:cs="Times New Roman"/>
          <w:sz w:val="24"/>
          <w:szCs w:val="24"/>
        </w:rPr>
      </w:pPr>
    </w:p>
    <w:p w14:paraId="06CE02C7" w14:textId="77777777" w:rsidR="00493739" w:rsidRDefault="00493739">
      <w:pPr>
        <w:spacing w:line="480" w:lineRule="auto"/>
        <w:rPr>
          <w:rFonts w:ascii="Times New Roman" w:eastAsia="Times New Roman" w:hAnsi="Times New Roman" w:cs="Times New Roman"/>
          <w:sz w:val="24"/>
          <w:szCs w:val="24"/>
        </w:rPr>
      </w:pPr>
    </w:p>
    <w:p w14:paraId="06CE02C8"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 xml:space="preserve">The 2010 Haiti Earthquake caused extensive damage to Port-au-Prince's infrastructure, severely affecting roads, bridges, and buildings. Voigt et al. (2011) utilized high-resolution satellite imagery for rapid damage assessment, demonstrating how situation mapping can identify critical damage zones and facilitate efficient resource allocation. This aligns with the comprehensive review by </w:t>
      </w:r>
      <w:proofErr w:type="spellStart"/>
      <w:r>
        <w:rPr>
          <w:rFonts w:ascii="Times New Roman" w:eastAsia="Times New Roman" w:hAnsi="Times New Roman" w:cs="Times New Roman"/>
          <w:sz w:val="24"/>
          <w:szCs w:val="24"/>
        </w:rPr>
        <w:t>Shafapour</w:t>
      </w:r>
      <w:proofErr w:type="spellEnd"/>
      <w:r>
        <w:rPr>
          <w:rFonts w:ascii="Times New Roman" w:eastAsia="Times New Roman" w:hAnsi="Times New Roman" w:cs="Times New Roman"/>
          <w:sz w:val="24"/>
          <w:szCs w:val="24"/>
        </w:rPr>
        <w:t xml:space="preserve"> Tehrany et al. (2023), highlighting advancements in geospatial technologies that improve earthquake management t</w:t>
      </w:r>
      <w:r>
        <w:rPr>
          <w:rFonts w:ascii="Times New Roman" w:eastAsia="Times New Roman" w:hAnsi="Times New Roman" w:cs="Times New Roman"/>
          <w:sz w:val="24"/>
          <w:szCs w:val="24"/>
        </w:rPr>
        <w:t>hrough preparedness, emergency response, and damage assessment. The review underscores the importance of remote sensing and GIS applications in understanding and mitigating the impacts of earthquakes, which are critical for effective disaster response.</w:t>
      </w:r>
    </w:p>
    <w:p w14:paraId="06CE02C9" w14:textId="77777777" w:rsidR="00493739" w:rsidRDefault="00D6452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Wright and Pilone (2010) further emphasize the importance of coordinated remote sensing efforts during a disaster. Their work underscores the necessity of timely data collection and dissemination to support relief operations and inform recovery planning. Coordinating geospatial data by USGS facilitated the rapid deployment of resources and provided critical information for decision-makers. This highlights the essential role of interagency collaboration in enhancing the effectiveness of disaster management e</w:t>
      </w:r>
      <w:r>
        <w:rPr>
          <w:rFonts w:ascii="Times New Roman" w:eastAsia="Times New Roman" w:hAnsi="Times New Roman" w:cs="Times New Roman"/>
          <w:sz w:val="24"/>
          <w:szCs w:val="24"/>
        </w:rPr>
        <w:t>fforts.</w:t>
      </w:r>
    </w:p>
    <w:p w14:paraId="06CE02CA" w14:textId="77777777" w:rsidR="00493739" w:rsidRDefault="00D6452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Integrating these insights with the </w:t>
      </w:r>
      <w:proofErr w:type="spellStart"/>
      <w:r>
        <w:rPr>
          <w:rFonts w:ascii="Times New Roman" w:eastAsia="Times New Roman" w:hAnsi="Times New Roman" w:cs="Times New Roman"/>
          <w:sz w:val="24"/>
          <w:szCs w:val="24"/>
        </w:rPr>
        <w:t>DesignSafe</w:t>
      </w:r>
      <w:proofErr w:type="spellEnd"/>
      <w:r>
        <w:rPr>
          <w:rFonts w:ascii="Times New Roman" w:eastAsia="Times New Roman" w:hAnsi="Times New Roman" w:cs="Times New Roman"/>
          <w:sz w:val="24"/>
          <w:szCs w:val="24"/>
        </w:rPr>
        <w:t xml:space="preserve">-CI dataset, which includes detailed pre- and post-disaster satellite imagery and damage annotations, provides a robust foundation for visualizing and quantifying the earthquake's impact on Port-au-Prince's infrastructure. By comparing pre-disaster images with post-disaster conditions, we can accurately assess the extent of damage and identify the most severely affected areas. This comprehensive analysis, combining scholarly research and high-quality geospatial data, illustrates the critical role </w:t>
      </w:r>
      <w:r>
        <w:rPr>
          <w:rFonts w:ascii="Times New Roman" w:eastAsia="Times New Roman" w:hAnsi="Times New Roman" w:cs="Times New Roman"/>
          <w:sz w:val="24"/>
          <w:szCs w:val="24"/>
        </w:rPr>
        <w:t xml:space="preserve">of geospatial technology in disaster response and recovery strategies. It supports the development of practical recovery plans </w:t>
      </w:r>
      <w:r>
        <w:rPr>
          <w:rFonts w:ascii="Times New Roman" w:eastAsia="Times New Roman" w:hAnsi="Times New Roman" w:cs="Times New Roman"/>
          <w:sz w:val="24"/>
          <w:szCs w:val="24"/>
        </w:rPr>
        <w:lastRenderedPageBreak/>
        <w:t>and strengthens future disaster preparedness by clearly understanding the impact on urban infrastructure.</w:t>
      </w:r>
    </w:p>
    <w:p w14:paraId="06CE02CB" w14:textId="77777777" w:rsidR="00493739" w:rsidRDefault="00493739">
      <w:pPr>
        <w:spacing w:line="480" w:lineRule="auto"/>
        <w:rPr>
          <w:rFonts w:ascii="Times New Roman" w:eastAsia="Times New Roman" w:hAnsi="Times New Roman" w:cs="Times New Roman"/>
          <w:sz w:val="24"/>
          <w:szCs w:val="24"/>
        </w:rPr>
      </w:pPr>
    </w:p>
    <w:p w14:paraId="06CE02CC" w14:textId="77777777" w:rsidR="00493739" w:rsidRDefault="00D64527">
      <w:pPr>
        <w:spacing w:before="240" w:after="240" w:line="480" w:lineRule="auto"/>
        <w:rPr>
          <w:rFonts w:ascii="Calibri" w:eastAsia="Calibri" w:hAnsi="Calibri" w:cs="Calibri"/>
          <w:sz w:val="24"/>
          <w:szCs w:val="24"/>
        </w:rPr>
      </w:pPr>
      <w:r>
        <w:rPr>
          <w:rFonts w:ascii="Calibri" w:eastAsia="Calibri" w:hAnsi="Calibri" w:cs="Calibri"/>
          <w:sz w:val="24"/>
          <w:szCs w:val="24"/>
        </w:rPr>
        <w:t>‌</w:t>
      </w:r>
    </w:p>
    <w:p w14:paraId="06CE02CD" w14:textId="77777777" w:rsidR="00493739" w:rsidRDefault="00493739">
      <w:pPr>
        <w:spacing w:line="480" w:lineRule="auto"/>
        <w:ind w:left="720"/>
        <w:rPr>
          <w:rFonts w:ascii="Times New Roman" w:eastAsia="Times New Roman" w:hAnsi="Times New Roman" w:cs="Times New Roman"/>
          <w:sz w:val="24"/>
          <w:szCs w:val="24"/>
        </w:rPr>
      </w:pPr>
    </w:p>
    <w:p w14:paraId="06CE02CE" w14:textId="77777777" w:rsidR="00493739" w:rsidRDefault="00493739">
      <w:pPr>
        <w:spacing w:line="480" w:lineRule="auto"/>
        <w:ind w:left="720"/>
        <w:rPr>
          <w:rFonts w:ascii="Times New Roman" w:eastAsia="Times New Roman" w:hAnsi="Times New Roman" w:cs="Times New Roman"/>
          <w:sz w:val="24"/>
          <w:szCs w:val="24"/>
        </w:rPr>
      </w:pPr>
    </w:p>
    <w:p w14:paraId="06CE02CF" w14:textId="77777777" w:rsidR="00493739" w:rsidRDefault="00493739">
      <w:pPr>
        <w:spacing w:line="480" w:lineRule="auto"/>
        <w:ind w:left="720"/>
        <w:rPr>
          <w:rFonts w:ascii="Times New Roman" w:eastAsia="Times New Roman" w:hAnsi="Times New Roman" w:cs="Times New Roman"/>
          <w:sz w:val="24"/>
          <w:szCs w:val="24"/>
        </w:rPr>
      </w:pPr>
    </w:p>
    <w:p w14:paraId="06CE02D0" w14:textId="77777777" w:rsidR="00493739" w:rsidRDefault="00D64527">
      <w:pPr>
        <w:spacing w:before="240" w:after="240" w:line="480" w:lineRule="auto"/>
        <w:rPr>
          <w:rFonts w:ascii="Calibri" w:eastAsia="Calibri" w:hAnsi="Calibri" w:cs="Calibri"/>
          <w:sz w:val="24"/>
          <w:szCs w:val="24"/>
        </w:rPr>
      </w:pPr>
      <w:r>
        <w:rPr>
          <w:rFonts w:ascii="Calibri" w:eastAsia="Calibri" w:hAnsi="Calibri" w:cs="Calibri"/>
          <w:sz w:val="24"/>
          <w:szCs w:val="24"/>
        </w:rPr>
        <w:t>‌</w:t>
      </w:r>
    </w:p>
    <w:p w14:paraId="06CE02D1" w14:textId="77777777" w:rsidR="00493739" w:rsidRDefault="00493739">
      <w:pPr>
        <w:spacing w:line="480" w:lineRule="auto"/>
        <w:rPr>
          <w:rFonts w:ascii="Times New Roman" w:eastAsia="Times New Roman" w:hAnsi="Times New Roman" w:cs="Times New Roman"/>
          <w:sz w:val="24"/>
          <w:szCs w:val="24"/>
        </w:rPr>
      </w:pPr>
    </w:p>
    <w:p w14:paraId="06CE02D2" w14:textId="77777777" w:rsidR="00493739" w:rsidRDefault="00493739">
      <w:pPr>
        <w:spacing w:line="480" w:lineRule="auto"/>
        <w:rPr>
          <w:rFonts w:ascii="Times New Roman" w:eastAsia="Times New Roman" w:hAnsi="Times New Roman" w:cs="Times New Roman"/>
          <w:sz w:val="24"/>
          <w:szCs w:val="24"/>
        </w:rPr>
      </w:pPr>
    </w:p>
    <w:p w14:paraId="06CE02D3" w14:textId="77777777" w:rsidR="00493739" w:rsidRDefault="00493739">
      <w:pPr>
        <w:spacing w:line="480" w:lineRule="auto"/>
        <w:rPr>
          <w:rFonts w:ascii="Times New Roman" w:eastAsia="Times New Roman" w:hAnsi="Times New Roman" w:cs="Times New Roman"/>
          <w:sz w:val="24"/>
          <w:szCs w:val="24"/>
        </w:rPr>
      </w:pPr>
    </w:p>
    <w:p w14:paraId="06CE02D4" w14:textId="77777777" w:rsidR="00493739" w:rsidRDefault="00493739">
      <w:pPr>
        <w:spacing w:line="480" w:lineRule="auto"/>
        <w:rPr>
          <w:rFonts w:ascii="Times New Roman" w:eastAsia="Times New Roman" w:hAnsi="Times New Roman" w:cs="Times New Roman"/>
          <w:sz w:val="24"/>
          <w:szCs w:val="24"/>
        </w:rPr>
      </w:pPr>
    </w:p>
    <w:p w14:paraId="06CE02D5" w14:textId="77777777" w:rsidR="00493739" w:rsidRDefault="00493739">
      <w:pPr>
        <w:spacing w:line="480" w:lineRule="auto"/>
        <w:rPr>
          <w:rFonts w:ascii="Times New Roman" w:eastAsia="Times New Roman" w:hAnsi="Times New Roman" w:cs="Times New Roman"/>
          <w:sz w:val="24"/>
          <w:szCs w:val="24"/>
        </w:rPr>
      </w:pPr>
    </w:p>
    <w:p w14:paraId="06CE02D6" w14:textId="77777777" w:rsidR="00493739" w:rsidRDefault="00493739">
      <w:pPr>
        <w:spacing w:line="480" w:lineRule="auto"/>
        <w:rPr>
          <w:rFonts w:ascii="Times New Roman" w:eastAsia="Times New Roman" w:hAnsi="Times New Roman" w:cs="Times New Roman"/>
          <w:sz w:val="24"/>
          <w:szCs w:val="24"/>
        </w:rPr>
      </w:pPr>
    </w:p>
    <w:p w14:paraId="06CE02D7" w14:textId="77777777" w:rsidR="00493739" w:rsidRDefault="00493739">
      <w:pPr>
        <w:spacing w:line="480" w:lineRule="auto"/>
        <w:rPr>
          <w:rFonts w:ascii="Times New Roman" w:eastAsia="Times New Roman" w:hAnsi="Times New Roman" w:cs="Times New Roman"/>
          <w:sz w:val="24"/>
          <w:szCs w:val="24"/>
        </w:rPr>
      </w:pPr>
    </w:p>
    <w:p w14:paraId="06CE02D8" w14:textId="77777777" w:rsidR="00493739" w:rsidRDefault="00493739">
      <w:pPr>
        <w:spacing w:line="480" w:lineRule="auto"/>
        <w:rPr>
          <w:rFonts w:ascii="Times New Roman" w:eastAsia="Times New Roman" w:hAnsi="Times New Roman" w:cs="Times New Roman"/>
          <w:sz w:val="24"/>
          <w:szCs w:val="24"/>
        </w:rPr>
      </w:pPr>
    </w:p>
    <w:p w14:paraId="06CE02D9" w14:textId="77777777" w:rsidR="00493739" w:rsidRDefault="00493739">
      <w:pPr>
        <w:spacing w:line="480" w:lineRule="auto"/>
        <w:rPr>
          <w:rFonts w:ascii="Times New Roman" w:eastAsia="Times New Roman" w:hAnsi="Times New Roman" w:cs="Times New Roman"/>
          <w:sz w:val="24"/>
          <w:szCs w:val="24"/>
        </w:rPr>
      </w:pPr>
    </w:p>
    <w:p w14:paraId="06CE02DA" w14:textId="77777777" w:rsidR="00493739" w:rsidRDefault="00493739">
      <w:pPr>
        <w:spacing w:line="480" w:lineRule="auto"/>
        <w:rPr>
          <w:rFonts w:ascii="Times New Roman" w:eastAsia="Times New Roman" w:hAnsi="Times New Roman" w:cs="Times New Roman"/>
          <w:sz w:val="24"/>
          <w:szCs w:val="24"/>
        </w:rPr>
      </w:pPr>
    </w:p>
    <w:p w14:paraId="06CE02DB" w14:textId="77777777" w:rsidR="00493739" w:rsidRDefault="00493739">
      <w:pPr>
        <w:spacing w:line="480" w:lineRule="auto"/>
        <w:rPr>
          <w:rFonts w:ascii="Times New Roman" w:eastAsia="Times New Roman" w:hAnsi="Times New Roman" w:cs="Times New Roman"/>
          <w:sz w:val="24"/>
          <w:szCs w:val="24"/>
        </w:rPr>
      </w:pPr>
    </w:p>
    <w:p w14:paraId="06CE02DC" w14:textId="77777777" w:rsidR="00493739" w:rsidRDefault="00493739">
      <w:pPr>
        <w:spacing w:line="480" w:lineRule="auto"/>
        <w:rPr>
          <w:rFonts w:ascii="Times New Roman" w:eastAsia="Times New Roman" w:hAnsi="Times New Roman" w:cs="Times New Roman"/>
          <w:sz w:val="24"/>
          <w:szCs w:val="24"/>
        </w:rPr>
      </w:pPr>
    </w:p>
    <w:p w14:paraId="06CE02DD" w14:textId="77777777" w:rsidR="00493739" w:rsidRDefault="00493739">
      <w:pPr>
        <w:spacing w:line="480" w:lineRule="auto"/>
        <w:rPr>
          <w:rFonts w:ascii="Times New Roman" w:eastAsia="Times New Roman" w:hAnsi="Times New Roman" w:cs="Times New Roman"/>
          <w:sz w:val="24"/>
          <w:szCs w:val="24"/>
        </w:rPr>
      </w:pPr>
    </w:p>
    <w:p w14:paraId="06CE02DE" w14:textId="49F4D5ED"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TOPS School Project Memo</w:t>
      </w:r>
    </w:p>
    <w:p w14:paraId="06CE02DF" w14:textId="48F28136"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Crystal Villa</w:t>
      </w:r>
    </w:p>
    <w:p w14:paraId="06CE02E0"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2/2/2025</w:t>
      </w:r>
    </w:p>
    <w:p w14:paraId="06CE02E1"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Subject: Data Review – 2010 Haiti Earthquake Impact on Port-au-Prince Infrastructure</w:t>
      </w:r>
    </w:p>
    <w:p w14:paraId="06CE02E2" w14:textId="77777777" w:rsidR="00493739" w:rsidRDefault="00493739">
      <w:pPr>
        <w:spacing w:line="480" w:lineRule="auto"/>
        <w:rPr>
          <w:rFonts w:ascii="Times New Roman" w:eastAsia="Times New Roman" w:hAnsi="Times New Roman" w:cs="Times New Roman"/>
          <w:sz w:val="24"/>
          <w:szCs w:val="24"/>
        </w:rPr>
      </w:pPr>
    </w:p>
    <w:p w14:paraId="06CE02E3"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Voigt, S., Schneiderhan, T., Twele, A., </w:t>
      </w:r>
      <w:proofErr w:type="spellStart"/>
      <w:r>
        <w:rPr>
          <w:rFonts w:ascii="Times New Roman" w:eastAsia="Times New Roman" w:hAnsi="Times New Roman" w:cs="Times New Roman"/>
          <w:sz w:val="24"/>
          <w:szCs w:val="24"/>
        </w:rPr>
        <w:t>Gähler</w:t>
      </w:r>
      <w:proofErr w:type="spellEnd"/>
      <w:r>
        <w:rPr>
          <w:rFonts w:ascii="Times New Roman" w:eastAsia="Times New Roman" w:hAnsi="Times New Roman" w:cs="Times New Roman"/>
          <w:sz w:val="24"/>
          <w:szCs w:val="24"/>
        </w:rPr>
        <w:t>, M., Stein, E., &amp; Mehl, H. (2011). Rapid damage assessment and situation mapping: Learning from the 2010 Haiti earthquake. Photogrammetric Engineering &amp; Remote Sensing, 77(9), 923–931. https://doi.org/10.14358/PERS.77.9.923</w:t>
      </w:r>
    </w:p>
    <w:p w14:paraId="06CE02E4"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Shafapour</w:t>
      </w:r>
      <w:proofErr w:type="spellEnd"/>
      <w:r>
        <w:rPr>
          <w:rFonts w:ascii="Times New Roman" w:eastAsia="Times New Roman" w:hAnsi="Times New Roman" w:cs="Times New Roman"/>
          <w:sz w:val="24"/>
          <w:szCs w:val="24"/>
        </w:rPr>
        <w:t xml:space="preserve"> Tehrany, M., Batur, M., Shabani, F., Pradhan, B., Kalantar, B., &amp; </w:t>
      </w:r>
      <w:proofErr w:type="spellStart"/>
      <w:r>
        <w:rPr>
          <w:rFonts w:ascii="Times New Roman" w:eastAsia="Times New Roman" w:hAnsi="Times New Roman" w:cs="Times New Roman"/>
          <w:sz w:val="24"/>
          <w:szCs w:val="24"/>
        </w:rPr>
        <w:t>Özener</w:t>
      </w:r>
      <w:proofErr w:type="spellEnd"/>
      <w:r>
        <w:rPr>
          <w:rFonts w:ascii="Times New Roman" w:eastAsia="Times New Roman" w:hAnsi="Times New Roman" w:cs="Times New Roman"/>
          <w:sz w:val="24"/>
          <w:szCs w:val="24"/>
        </w:rPr>
        <w:t>, H. (2023). A comprehensive review of geospatial technology applications in earthquake preparedness, emergency management, and damage assessment. Remote Sensing, 15(8), 1939. https://doi.org/10.3390/rs15081939</w:t>
      </w:r>
    </w:p>
    <w:p w14:paraId="06CE02E5"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Wright, R., &amp; Pilone, E. (2010). USGS remote sensing coordination for the 2010 Haiti earthquake. Earthquake Spectra, 26(3), 669-684. https://doi.org/10.1193/1.3459128</w:t>
      </w:r>
    </w:p>
    <w:p w14:paraId="06CE02E6"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Maxar Technologies. (2010). Pre- and Post-Disaster Satellite Imagery of the 2010 Haiti Earthquake [Data set]. Maxar Open Data Program. https://www.maxar.com/open-data</w:t>
      </w:r>
    </w:p>
    <w:p w14:paraId="06CE02E7" w14:textId="77777777" w:rsidR="00493739" w:rsidRDefault="00493739">
      <w:pPr>
        <w:spacing w:line="480" w:lineRule="auto"/>
        <w:rPr>
          <w:rFonts w:ascii="Times New Roman" w:eastAsia="Times New Roman" w:hAnsi="Times New Roman" w:cs="Times New Roman"/>
          <w:sz w:val="24"/>
          <w:szCs w:val="24"/>
        </w:rPr>
      </w:pPr>
    </w:p>
    <w:p w14:paraId="06CE02E8" w14:textId="77777777" w:rsidR="00493739" w:rsidRDefault="00D6452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Taken to Obtain Data:</w:t>
      </w:r>
    </w:p>
    <w:p w14:paraId="06CE02E9"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Article Acquisition:   - Searched academic databases using keywords related to the 2010 Haiti Earthquake and infrastructure damage (e.g., "2010 Haiti Earthquake infrastructure damage," "Port-au-Prince earthquake impact," "Haiti earthquake building assessment").</w:t>
      </w:r>
    </w:p>
    <w:p w14:paraId="06CE02EA"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Selected articles based on their relevance to infrastructure impact and use of geospatial technologies.</w:t>
      </w:r>
    </w:p>
    <w:p w14:paraId="06CE02EB"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Accessed full-text articles through university library resources and online databases.</w:t>
      </w:r>
    </w:p>
    <w:p w14:paraId="06CE02EC" w14:textId="77777777" w:rsidR="00493739" w:rsidRDefault="00493739">
      <w:pPr>
        <w:spacing w:line="480" w:lineRule="auto"/>
        <w:rPr>
          <w:rFonts w:ascii="Times New Roman" w:eastAsia="Times New Roman" w:hAnsi="Times New Roman" w:cs="Times New Roman"/>
          <w:sz w:val="24"/>
          <w:szCs w:val="24"/>
        </w:rPr>
      </w:pPr>
    </w:p>
    <w:p w14:paraId="06CE02ED" w14:textId="77777777" w:rsidR="00493739" w:rsidRDefault="00D6452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Dataset Acquisition:</w:t>
      </w:r>
    </w:p>
    <w:p w14:paraId="06CE02EE"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Identified the </w:t>
      </w:r>
      <w:proofErr w:type="spellStart"/>
      <w:r>
        <w:rPr>
          <w:rFonts w:ascii="Times New Roman" w:eastAsia="Times New Roman" w:hAnsi="Times New Roman" w:cs="Times New Roman"/>
          <w:sz w:val="24"/>
          <w:szCs w:val="24"/>
        </w:rPr>
        <w:t>DesignSafe</w:t>
      </w:r>
      <w:proofErr w:type="spellEnd"/>
      <w:r>
        <w:rPr>
          <w:rFonts w:ascii="Times New Roman" w:eastAsia="Times New Roman" w:hAnsi="Times New Roman" w:cs="Times New Roman"/>
          <w:sz w:val="24"/>
          <w:szCs w:val="24"/>
        </w:rPr>
        <w:t>-CI dataset focusing on pre- and post-disaster satellite imagery of Port-au-Prince.</w:t>
      </w:r>
    </w:p>
    <w:p w14:paraId="06CE02EF"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Reviewed the dataset description to ensure it included building and road damage assessments.</w:t>
      </w:r>
    </w:p>
    <w:p w14:paraId="06CE02F0"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Downloaded the dataset, including high-resolution images and annotations.</w:t>
      </w:r>
    </w:p>
    <w:p w14:paraId="06CE02F1"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Evaluated the dataset's credibility (from an NSF-supported platform), timeliness (images from January 2010), and quality (detailed annotations and high resolution).</w:t>
      </w:r>
    </w:p>
    <w:p w14:paraId="06CE02F2" w14:textId="77777777" w:rsidR="00493739" w:rsidRDefault="00493739">
      <w:pPr>
        <w:spacing w:line="480" w:lineRule="auto"/>
        <w:rPr>
          <w:rFonts w:ascii="Times New Roman" w:eastAsia="Times New Roman" w:hAnsi="Times New Roman" w:cs="Times New Roman"/>
          <w:sz w:val="24"/>
          <w:szCs w:val="24"/>
        </w:rPr>
      </w:pPr>
    </w:p>
    <w:p w14:paraId="06CE02F3" w14:textId="77777777" w:rsidR="00493739" w:rsidRDefault="00D6452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Evaluation:</w:t>
      </w:r>
    </w:p>
    <w:p w14:paraId="06CE02F4" w14:textId="0675B606"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Credibility:</w:t>
      </w:r>
    </w:p>
    <w:p w14:paraId="06CE02F5"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 sources are from reputable journals, organizations, and authors.</w:t>
      </w:r>
    </w:p>
    <w:p w14:paraId="06CE02F6"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Articles are peer-reviewed and published by well-known remote sensing and disaster management journals.</w:t>
      </w:r>
    </w:p>
    <w:p w14:paraId="06CE02F7"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dataset is from a recognized provider (Maxar Technologies) and hosted on a credible platform (</w:t>
      </w:r>
      <w:proofErr w:type="spellStart"/>
      <w:r>
        <w:rPr>
          <w:rFonts w:ascii="Times New Roman" w:eastAsia="Times New Roman" w:hAnsi="Times New Roman" w:cs="Times New Roman"/>
          <w:sz w:val="24"/>
          <w:szCs w:val="24"/>
        </w:rPr>
        <w:t>DesignSafe</w:t>
      </w:r>
      <w:proofErr w:type="spellEnd"/>
      <w:r>
        <w:rPr>
          <w:rFonts w:ascii="Times New Roman" w:eastAsia="Times New Roman" w:hAnsi="Times New Roman" w:cs="Times New Roman"/>
          <w:sz w:val="24"/>
          <w:szCs w:val="24"/>
        </w:rPr>
        <w:t>-CI).</w:t>
      </w:r>
    </w:p>
    <w:p w14:paraId="06CE02F8" w14:textId="77777777" w:rsidR="00493739" w:rsidRDefault="00493739">
      <w:pPr>
        <w:spacing w:line="480" w:lineRule="auto"/>
        <w:rPr>
          <w:rFonts w:ascii="Times New Roman" w:eastAsia="Times New Roman" w:hAnsi="Times New Roman" w:cs="Times New Roman"/>
          <w:sz w:val="24"/>
          <w:szCs w:val="24"/>
        </w:rPr>
      </w:pPr>
    </w:p>
    <w:p w14:paraId="06CE02F9" w14:textId="3776DB20"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Timeliness:</w:t>
      </w:r>
    </w:p>
    <w:p w14:paraId="06CE02FA"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articles and datasets are timely, with publications shortly after the earthquake (2010, 2011) and updated reviews (2023), ensuring relevance to current standards and practices.</w:t>
      </w:r>
    </w:p>
    <w:p w14:paraId="06CE02FB" w14:textId="77777777" w:rsidR="00493739" w:rsidRDefault="00493739">
      <w:pPr>
        <w:spacing w:line="480" w:lineRule="auto"/>
        <w:rPr>
          <w:rFonts w:ascii="Times New Roman" w:eastAsia="Times New Roman" w:hAnsi="Times New Roman" w:cs="Times New Roman"/>
          <w:sz w:val="24"/>
          <w:szCs w:val="24"/>
        </w:rPr>
      </w:pPr>
    </w:p>
    <w:p w14:paraId="06CE02FC" w14:textId="41037F86"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06CE02FD"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High-quality data with detailed methodologies and comprehensive analyses.</w:t>
      </w:r>
    </w:p>
    <w:p w14:paraId="06CE02FE"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w:t>
      </w:r>
      <w:proofErr w:type="spellStart"/>
      <w:r>
        <w:rPr>
          <w:rFonts w:ascii="Times New Roman" w:eastAsia="Times New Roman" w:hAnsi="Times New Roman" w:cs="Times New Roman"/>
          <w:sz w:val="24"/>
          <w:szCs w:val="24"/>
        </w:rPr>
        <w:t>DesignSafe</w:t>
      </w:r>
      <w:proofErr w:type="spellEnd"/>
      <w:r>
        <w:rPr>
          <w:rFonts w:ascii="Times New Roman" w:eastAsia="Times New Roman" w:hAnsi="Times New Roman" w:cs="Times New Roman"/>
          <w:sz w:val="24"/>
          <w:szCs w:val="24"/>
        </w:rPr>
        <w:t>-CI dataset includes pre- and post-disaster imagery and annotations, allowing for a thorough comparison of infrastructure conditions.</w:t>
      </w:r>
    </w:p>
    <w:p w14:paraId="06CE02FF"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scholarly articles provide in-depth insights into the role of geospatial technologies in disaster response and recovery.</w:t>
      </w:r>
    </w:p>
    <w:p w14:paraId="06CE0300" w14:textId="77777777" w:rsidR="00493739" w:rsidRDefault="00493739">
      <w:pPr>
        <w:spacing w:line="480" w:lineRule="auto"/>
        <w:rPr>
          <w:rFonts w:ascii="Times New Roman" w:eastAsia="Times New Roman" w:hAnsi="Times New Roman" w:cs="Times New Roman"/>
          <w:sz w:val="24"/>
          <w:szCs w:val="24"/>
        </w:rPr>
      </w:pPr>
    </w:p>
    <w:p w14:paraId="06CE0301"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these high-quality sources, comprehensively understand the earthquake's impact on Port-au-Prince's infrastructure. Integrating pre- and post-disaster data with scholarly insights enhances our ability to visualize damage severity and develop effective recovery strategies, contributing to improved disaster preparedness and resilience.</w:t>
      </w:r>
    </w:p>
    <w:p w14:paraId="06CE0302" w14:textId="77777777" w:rsidR="00493739" w:rsidRDefault="00493739">
      <w:pPr>
        <w:spacing w:line="480" w:lineRule="auto"/>
        <w:rPr>
          <w:rFonts w:ascii="Times New Roman" w:eastAsia="Times New Roman" w:hAnsi="Times New Roman" w:cs="Times New Roman"/>
          <w:sz w:val="24"/>
          <w:szCs w:val="24"/>
        </w:rPr>
      </w:pPr>
    </w:p>
    <w:p w14:paraId="06CE0303" w14:textId="77777777" w:rsidR="00493739" w:rsidRDefault="00D645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CE0304" wp14:editId="06CE0305">
            <wp:extent cx="5943600" cy="420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4203700"/>
                    </a:xfrm>
                    <a:prstGeom prst="rect">
                      <a:avLst/>
                    </a:prstGeom>
                    <a:ln/>
                  </pic:spPr>
                </pic:pic>
              </a:graphicData>
            </a:graphic>
          </wp:inline>
        </w:drawing>
      </w:r>
    </w:p>
    <w:sectPr w:rsidR="004937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739"/>
    <w:rsid w:val="00493739"/>
    <w:rsid w:val="006A437F"/>
    <w:rsid w:val="00D64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CE02B1"/>
  <w15:docId w15:val="{AA68BA11-7476-407C-8E31-D8BE8DFED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689</Words>
  <Characters>4810</Characters>
  <Application>Microsoft Office Word</Application>
  <DocSecurity>0</DocSecurity>
  <Lines>130</Lines>
  <Paragraphs>42</Paragraphs>
  <ScaleCrop>false</ScaleCrop>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Crystal Villa</cp:lastModifiedBy>
  <cp:revision>2</cp:revision>
  <dcterms:created xsi:type="dcterms:W3CDTF">2025-02-06T17:58:00Z</dcterms:created>
  <dcterms:modified xsi:type="dcterms:W3CDTF">2025-02-06T18:00:00Z</dcterms:modified>
</cp:coreProperties>
</file>