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3167A5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38865" w:history="1">
            <w:r w:rsidR="003167A5" w:rsidRPr="000E0BBF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>
              <w:rPr>
                <w:noProof/>
                <w:webHidden/>
              </w:rPr>
              <w:tab/>
            </w:r>
            <w:r w:rsidR="003167A5">
              <w:rPr>
                <w:noProof/>
                <w:webHidden/>
              </w:rPr>
              <w:fldChar w:fldCharType="begin"/>
            </w:r>
            <w:r w:rsidR="003167A5">
              <w:rPr>
                <w:noProof/>
                <w:webHidden/>
              </w:rPr>
              <w:instrText xml:space="preserve"> PAGEREF _Toc358238865 \h </w:instrText>
            </w:r>
            <w:r w:rsidR="003167A5">
              <w:rPr>
                <w:noProof/>
                <w:webHidden/>
              </w:rPr>
            </w:r>
            <w:r w:rsidR="003167A5">
              <w:rPr>
                <w:noProof/>
                <w:webHidden/>
              </w:rPr>
              <w:fldChar w:fldCharType="separate"/>
            </w:r>
            <w:r w:rsidR="003167A5">
              <w:rPr>
                <w:noProof/>
                <w:webHidden/>
              </w:rPr>
              <w:t>3</w:t>
            </w:r>
            <w:r w:rsidR="003167A5"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Pr="000E0BBF">
              <w:rPr>
                <w:rStyle w:val="Hyperlink"/>
                <w:rFonts w:eastAsia="Calibri"/>
                <w:b/>
                <w:noProof/>
              </w:rPr>
              <w:t>FLUX.00</w:t>
            </w:r>
            <w:r w:rsidRPr="000E0BBF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Pr="000E0BBF">
              <w:rPr>
                <w:rStyle w:val="Hyperlink"/>
                <w:rFonts w:eastAsia="Calibri"/>
                <w:b/>
                <w:noProof/>
              </w:rPr>
              <w:t>FLUX.01</w:t>
            </w:r>
            <w:r w:rsidRPr="000E0BBF">
              <w:rPr>
                <w:rStyle w:val="Hyperlink"/>
                <w:rFonts w:eastAsia="Calibri"/>
                <w:noProof/>
              </w:rPr>
              <w:t xml:space="preserve"> -  Inicio/Fim.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Pr="000E0BBF">
              <w:rPr>
                <w:rStyle w:val="Hyperlink"/>
                <w:rFonts w:eastAsia="Calibri"/>
                <w:b/>
                <w:noProof/>
              </w:rPr>
              <w:t>FLUX.02</w:t>
            </w:r>
            <w:r w:rsidRPr="000E0BBF">
              <w:rPr>
                <w:rStyle w:val="Hyperlink"/>
                <w:rFonts w:eastAsia="Calibri"/>
                <w:noProof/>
              </w:rPr>
              <w:t xml:space="preserve"> -  União.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Pr="000E0BBF">
              <w:rPr>
                <w:rStyle w:val="Hyperlink"/>
                <w:rFonts w:eastAsia="Calibri"/>
                <w:b/>
                <w:noProof/>
              </w:rPr>
              <w:t>FLUX.03</w:t>
            </w:r>
            <w:r w:rsidRPr="000E0BBF">
              <w:rPr>
                <w:rStyle w:val="Hyperlink"/>
                <w:rFonts w:eastAsia="Calibri"/>
                <w:noProof/>
              </w:rPr>
              <w:t xml:space="preserve"> -  Leitura.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Pr="000E0BBF">
              <w:rPr>
                <w:rStyle w:val="Hyperlink"/>
                <w:rFonts w:eastAsia="Calibri"/>
                <w:b/>
                <w:noProof/>
              </w:rPr>
              <w:t>FLUX.04</w:t>
            </w:r>
            <w:r w:rsidRPr="000E0BBF">
              <w:rPr>
                <w:rStyle w:val="Hyperlink"/>
                <w:rFonts w:eastAsia="Calibri"/>
                <w:noProof/>
              </w:rPr>
              <w:t xml:space="preserve"> – Processo/Funções.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Pr="000E0BBF">
              <w:rPr>
                <w:rStyle w:val="Hyperlink"/>
                <w:rFonts w:eastAsia="Calibri"/>
                <w:b/>
                <w:noProof/>
              </w:rPr>
              <w:t>FLUX.05</w:t>
            </w:r>
            <w:r w:rsidRPr="000E0BBF">
              <w:rPr>
                <w:rStyle w:val="Hyperlink"/>
                <w:rFonts w:eastAsia="Calibri"/>
                <w:noProof/>
              </w:rPr>
              <w:t xml:space="preserve"> – Decisão.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Pr="000E0BBF">
              <w:rPr>
                <w:rStyle w:val="Hyperlink"/>
                <w:rFonts w:eastAsia="Calibri"/>
                <w:b/>
                <w:noProof/>
              </w:rPr>
              <w:t>FLUX.06</w:t>
            </w:r>
            <w:r w:rsidRPr="000E0BBF">
              <w:rPr>
                <w:rStyle w:val="Hyperlink"/>
                <w:rFonts w:eastAsia="Calibri"/>
                <w:noProof/>
              </w:rPr>
              <w:t xml:space="preserve"> – Escrita.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Pr="000E0BBF">
              <w:rPr>
                <w:rStyle w:val="Hyperlink"/>
                <w:rFonts w:eastAsia="Calibri"/>
                <w:b/>
                <w:noProof/>
              </w:rPr>
              <w:t>FLUX.07</w:t>
            </w:r>
            <w:r w:rsidRPr="000E0BBF">
              <w:rPr>
                <w:rStyle w:val="Hyperlink"/>
                <w:rFonts w:eastAsia="Calibri"/>
                <w:noProof/>
              </w:rPr>
              <w:t xml:space="preserve"> – Return.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Pr="000E0BBF">
              <w:rPr>
                <w:rStyle w:val="Hyperlink"/>
                <w:rFonts w:eastAsia="Calibri"/>
                <w:b/>
                <w:noProof/>
              </w:rPr>
              <w:t>FLUX.08</w:t>
            </w:r>
            <w:r w:rsidRPr="000E0BBF">
              <w:rPr>
                <w:rStyle w:val="Hyperlink"/>
                <w:rFonts w:eastAsia="Calibri"/>
                <w:noProof/>
              </w:rPr>
              <w:t xml:space="preserve"> – Ligações.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Pr="000E0BBF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Pr="000E0BBF">
              <w:rPr>
                <w:rStyle w:val="Hyperlink"/>
                <w:rFonts w:eastAsia="Calibri"/>
                <w:noProof/>
              </w:rPr>
              <w:t xml:space="preserve"> – Switch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Pr="000E0BBF">
              <w:rPr>
                <w:rStyle w:val="Hyperlink"/>
                <w:rFonts w:eastAsia="Calibri"/>
                <w:b/>
                <w:noProof/>
              </w:rPr>
              <w:t>FLUX.10</w:t>
            </w:r>
            <w:r w:rsidRPr="000E0BBF">
              <w:rPr>
                <w:rStyle w:val="Hyperlink"/>
                <w:rFonts w:eastAsia="Calibri"/>
                <w:noProof/>
              </w:rPr>
              <w:t xml:space="preserve"> – For.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Pr="000E0BBF">
              <w:rPr>
                <w:rStyle w:val="Hyperlink"/>
                <w:rFonts w:eastAsia="Calibri"/>
                <w:b/>
                <w:noProof/>
              </w:rPr>
              <w:t>FLUX.11</w:t>
            </w:r>
            <w:r w:rsidRPr="000E0BBF">
              <w:rPr>
                <w:rStyle w:val="Hyperlink"/>
                <w:rFonts w:eastAsia="Calibri"/>
                <w:noProof/>
              </w:rPr>
              <w:t xml:space="preserve"> - Comentários.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Pr="000E0BBF">
              <w:rPr>
                <w:rStyle w:val="Hyperlink"/>
                <w:rFonts w:eastAsia="Calibri"/>
                <w:b/>
                <w:noProof/>
              </w:rPr>
              <w:t>FLUX.12</w:t>
            </w:r>
            <w:r w:rsidRPr="000E0BBF">
              <w:rPr>
                <w:rStyle w:val="Hyperlink"/>
                <w:rFonts w:eastAsia="Calibri"/>
                <w:noProof/>
              </w:rPr>
              <w:t xml:space="preserve"> - Editor de expressões.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Pr="000E0BBF">
              <w:rPr>
                <w:rStyle w:val="Hyperlink"/>
                <w:rFonts w:eastAsia="Calibri"/>
                <w:b/>
                <w:noProof/>
              </w:rPr>
              <w:t>FLUX.13</w:t>
            </w:r>
            <w:r w:rsidRPr="000E0BBF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Pr="000E0BBF">
              <w:rPr>
                <w:rStyle w:val="Hyperlink"/>
                <w:rFonts w:eastAsia="Calibri"/>
                <w:b/>
                <w:noProof/>
              </w:rPr>
              <w:t>FLUX.14</w:t>
            </w:r>
            <w:r w:rsidRPr="000E0BBF">
              <w:rPr>
                <w:rStyle w:val="Hyperlink"/>
                <w:rFonts w:eastAsia="Calibri"/>
                <w:noProof/>
              </w:rPr>
              <w:t xml:space="preserve"> - 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Pr="000E0BBF">
              <w:rPr>
                <w:rStyle w:val="Hyperlink"/>
                <w:noProof/>
                <w:lang w:val="pt-PT"/>
              </w:rPr>
              <w:t>Especificação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Pr="000E0BBF">
              <w:rPr>
                <w:rStyle w:val="Hyperlink"/>
                <w:rFonts w:eastAsia="Calibri"/>
                <w:b/>
                <w:noProof/>
              </w:rPr>
              <w:t>PARS.00</w:t>
            </w:r>
            <w:r w:rsidRPr="000E0BBF">
              <w:rPr>
                <w:rStyle w:val="Hyperlink"/>
                <w:rFonts w:eastAsia="Calibri"/>
                <w:noProof/>
              </w:rPr>
              <w:t xml:space="preserve"> – Requisitos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Pr="000E0BBF">
              <w:rPr>
                <w:rStyle w:val="Hyperlink"/>
                <w:rFonts w:eastAsia="Calibri"/>
                <w:b/>
                <w:noProof/>
              </w:rPr>
              <w:t>PARS.01</w:t>
            </w:r>
            <w:r w:rsidRPr="000E0BBF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Pr="000E0BBF">
              <w:rPr>
                <w:rStyle w:val="Hyperlink"/>
                <w:rFonts w:eastAsia="Calibri"/>
                <w:b/>
                <w:noProof/>
              </w:rPr>
              <w:t>PARS.02</w:t>
            </w:r>
            <w:r w:rsidRPr="000E0BBF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Pr="000E0BBF">
              <w:rPr>
                <w:rStyle w:val="Hyperlink"/>
                <w:rFonts w:eastAsia="Calibri"/>
                <w:b/>
                <w:noProof/>
              </w:rPr>
              <w:t>PARS.03</w:t>
            </w:r>
            <w:r w:rsidRPr="000E0BBF">
              <w:rPr>
                <w:rStyle w:val="Hyperlink"/>
                <w:rFonts w:eastAsia="Calibri"/>
                <w:noProof/>
              </w:rPr>
              <w:t xml:space="preserve"> –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Pr="000E0BBF">
              <w:rPr>
                <w:rStyle w:val="Hyperlink"/>
                <w:rFonts w:eastAsia="Calibri"/>
                <w:b/>
                <w:noProof/>
              </w:rPr>
              <w:t>PARS.04</w:t>
            </w:r>
            <w:r w:rsidRPr="000E0BBF">
              <w:rPr>
                <w:rStyle w:val="Hyperlink"/>
                <w:rFonts w:eastAsia="Calibri"/>
                <w:noProof/>
              </w:rPr>
              <w:t xml:space="preserve"> –Strings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Pr="000E0BBF">
              <w:rPr>
                <w:rStyle w:val="Hyperlink"/>
                <w:rFonts w:eastAsia="Calibri"/>
                <w:b/>
                <w:noProof/>
              </w:rPr>
              <w:t>PARS.05</w:t>
            </w:r>
            <w:r w:rsidRPr="000E0BBF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Pr="000E0BBF">
              <w:rPr>
                <w:rStyle w:val="Hyperlink"/>
                <w:noProof/>
                <w:lang w:val="pt-PT"/>
              </w:rPr>
              <w:t>Especificação da Integração Fluxo –BD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Pr="000E0BBF">
              <w:rPr>
                <w:rStyle w:val="Hyperlink"/>
                <w:b/>
                <w:noProof/>
              </w:rPr>
              <w:t xml:space="preserve">INTBD.00 – </w:t>
            </w:r>
            <w:r w:rsidRPr="000E0BBF">
              <w:rPr>
                <w:rStyle w:val="Hyperlink"/>
                <w:noProof/>
              </w:rPr>
              <w:t>Interacção Base de Dados/Fluxograma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Pr="000E0BBF">
              <w:rPr>
                <w:rStyle w:val="Hyperlink"/>
                <w:noProof/>
                <w:lang w:val="pt-PT"/>
              </w:rPr>
              <w:t>Especificação da Integração Tradução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Pr="000E0BBF">
              <w:rPr>
                <w:rStyle w:val="Hyperlink"/>
                <w:b/>
                <w:noProof/>
              </w:rPr>
              <w:t>INTTRAD-00 -</w:t>
            </w:r>
            <w:r w:rsidRPr="000E0BBF">
              <w:rPr>
                <w:rStyle w:val="Hyperlink"/>
                <w:noProof/>
              </w:rPr>
              <w:t xml:space="preserve"> Requisitos gerais de tradução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Pr="000E0BBF">
              <w:rPr>
                <w:rStyle w:val="Hyperlink"/>
                <w:b/>
                <w:noProof/>
              </w:rPr>
              <w:t>INTTRAD-01 -</w:t>
            </w:r>
            <w:r w:rsidRPr="000E0BBF">
              <w:rPr>
                <w:rStyle w:val="Hyperlink"/>
                <w:noProof/>
              </w:rPr>
              <w:t xml:space="preserve"> Requisitos de visualização de código 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Pr="000E0BBF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Pr="000E0BBF">
              <w:rPr>
                <w:rStyle w:val="Hyperlink"/>
                <w:b/>
                <w:noProof/>
              </w:rPr>
              <w:t xml:space="preserve">INTSI.00 – </w:t>
            </w:r>
            <w:r w:rsidRPr="000E0BBF">
              <w:rPr>
                <w:rStyle w:val="Hyperlink"/>
                <w:noProof/>
              </w:rPr>
              <w:t>Funcionamento Geral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Pr="000E0BBF">
              <w:rPr>
                <w:rStyle w:val="Hyperlink"/>
                <w:b/>
                <w:noProof/>
              </w:rPr>
              <w:t xml:space="preserve">INTSI.01 – </w:t>
            </w:r>
            <w:r w:rsidRPr="000E0BBF">
              <w:rPr>
                <w:rStyle w:val="Hyperlink"/>
                <w:noProof/>
              </w:rPr>
              <w:t>Funcionalidades Utilizador Visitante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Pr="000E0BBF">
              <w:rPr>
                <w:rStyle w:val="Hyperlink"/>
                <w:b/>
                <w:noProof/>
              </w:rPr>
              <w:t xml:space="preserve">INTSI.02 – </w:t>
            </w:r>
            <w:r w:rsidRPr="000E0BBF">
              <w:rPr>
                <w:rStyle w:val="Hyperlink"/>
                <w:noProof/>
              </w:rPr>
              <w:t>Funcionalidades Utilizador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Pr="000E0BBF">
              <w:rPr>
                <w:rStyle w:val="Hyperlink"/>
                <w:b/>
                <w:noProof/>
              </w:rPr>
              <w:t xml:space="preserve">INTSI.03 – </w:t>
            </w:r>
            <w:r w:rsidRPr="000E0BBF">
              <w:rPr>
                <w:rStyle w:val="Hyperlink"/>
                <w:noProof/>
              </w:rPr>
              <w:t>Funcionalidades Utilizador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Pr="000E0BBF">
              <w:rPr>
                <w:rStyle w:val="Hyperlink"/>
                <w:b/>
                <w:noProof/>
              </w:rPr>
              <w:t xml:space="preserve">INTSI.04 – </w:t>
            </w:r>
            <w:r w:rsidRPr="000E0BBF">
              <w:rPr>
                <w:rStyle w:val="Hyperlink"/>
                <w:noProof/>
              </w:rPr>
              <w:t>Funcionalidades Administrador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7A5" w:rsidRDefault="003167A5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Pr="000E0BBF">
              <w:rPr>
                <w:rStyle w:val="Hyperlink"/>
                <w:b/>
                <w:noProof/>
              </w:rPr>
              <w:t xml:space="preserve">INTSI.05 – </w:t>
            </w:r>
            <w:r w:rsidRPr="000E0BBF">
              <w:rPr>
                <w:rStyle w:val="Hyperlink"/>
                <w:noProof/>
              </w:rPr>
              <w:t>Recuperação de Palavras-Passe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  <w:bookmarkStart w:id="0" w:name="_GoBack"/>
      <w:bookmarkEnd w:id="0"/>
    </w:p>
    <w:p w:rsidR="00DD356B" w:rsidRPr="00F03AC3" w:rsidRDefault="00DD356B" w:rsidP="00DD356B">
      <w:pPr>
        <w:pStyle w:val="Titulo"/>
        <w:rPr>
          <w:lang w:val="pt-PT"/>
        </w:rPr>
      </w:pPr>
      <w:bookmarkStart w:id="1" w:name="_Toc358238865"/>
      <w:r w:rsidRPr="00F03AC3">
        <w:rPr>
          <w:lang w:val="pt-PT"/>
        </w:rPr>
        <w:lastRenderedPageBreak/>
        <w:t>Especificação da linguagem Fluxo-Gráfica e ferramentas do IDE</w:t>
      </w:r>
      <w:bookmarkEnd w:id="1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2" w:name="_Toc358238866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2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80965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80966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8238867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3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3167A5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80975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8238868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4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80967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8238869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5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80968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6" w:name="_Toc358238870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6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80969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3167A5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80976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3167A5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80977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3167A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80978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3167A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80979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7" w:name="_Toc358238871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7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3167A5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80980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8" w:name="_Toc358238872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8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3167A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80981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9" w:name="_Toc358238873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3167A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80982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3167A5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80983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10" w:name="_Toc358238874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10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1" w:name="_Toc358238875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1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3167A5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80984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80970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80971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2" w:name="_Toc358238876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2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80972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80973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80974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3" w:name="_Toc358238877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3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3167A5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4C247E" w:rsidRDefault="004C247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3167A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4C247E" w:rsidRPr="00D375BD" w:rsidRDefault="004C247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3167A5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4C247E" w:rsidRDefault="004C247E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3167A5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4C247E" w:rsidRPr="00C2523D" w:rsidRDefault="004C247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3167A5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4C247E" w:rsidRDefault="004C247E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4C247E" w:rsidRPr="000924E4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3167A5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4C247E" w:rsidRPr="00C02BF0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4" w:name="_Toc358238878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4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5" w:name="_Toc358238879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5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6" w:name="_Toc358238880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6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B258BC">
        <w:rPr>
          <w:rFonts w:ascii="Calibri" w:hAnsi="Calibri"/>
          <w:b/>
          <w:sz w:val="24"/>
          <w:szCs w:val="24"/>
          <w:lang w:val="pt-PT"/>
        </w:rPr>
        <w:t>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“return”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</w:t>
      </w:r>
      <w:r w:rsidR="00743CAE">
        <w:rPr>
          <w:rFonts w:ascii="Calibri" w:hAnsi="Calibri"/>
          <w:b/>
          <w:sz w:val="24"/>
          <w:szCs w:val="24"/>
          <w:lang w:val="pt-PT"/>
        </w:rPr>
        <w:t>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743CA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FLUX.14.09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743CA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FLUX.14.10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43CAE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FLUX.14.11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3167A5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3167A5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7" w:name="_Toc358238881"/>
      <w:r w:rsidRPr="003C21C5">
        <w:rPr>
          <w:lang w:val="pt-PT"/>
        </w:rPr>
        <w:t>Especificação de Parsing</w:t>
      </w:r>
      <w:bookmarkEnd w:id="17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8" w:name="_Toc358238882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9" w:name="_Toc358238883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20" w:name="_Toc358238884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1" w:name="_Toc358238885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1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2" w:name="_Toc358238886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2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3" w:name="_Toc358238887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3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3167A5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4C247E" w:rsidRPr="00990F61" w:rsidRDefault="004C247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3167A5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3167A5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C247E" w:rsidRPr="00990F61" w:rsidRDefault="004C247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3167A5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4C247E" w:rsidRPr="00990F61" w:rsidRDefault="004C247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3167A5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4" w:name="_Toc358238888"/>
      <w:r w:rsidRPr="00F03AC3">
        <w:rPr>
          <w:lang w:val="pt-PT"/>
        </w:rPr>
        <w:t>Especificação da Integração Fluxo –BD</w:t>
      </w:r>
      <w:bookmarkEnd w:id="24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5" w:name="_Toc358238889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5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2925FD" w:rsidRDefault="00F03AC3" w:rsidP="00F03AC3">
      <w:pPr>
        <w:pStyle w:val="Titulo"/>
        <w:rPr>
          <w:lang w:val="pt-PT"/>
        </w:rPr>
      </w:pPr>
      <w:bookmarkStart w:id="26" w:name="_Toc358238890"/>
      <w:r w:rsidRPr="002925FD">
        <w:rPr>
          <w:lang w:val="pt-PT"/>
        </w:rPr>
        <w:t>Especificação da Integração Tradução</w:t>
      </w:r>
      <w:bookmarkEnd w:id="26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7" w:name="_Toc358238891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7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8" w:name="_Toc358238892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3167A5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345256" w:rsidRDefault="004C247E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3167A5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3167A5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4C247E" w:rsidRPr="004D302C" w:rsidRDefault="004C247E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D43CC" w:rsidRDefault="00CD43CC" w:rsidP="00CD43CC">
      <w:pPr>
        <w:pStyle w:val="Titulo"/>
        <w:rPr>
          <w:lang w:val="pt-PT"/>
        </w:rPr>
      </w:pPr>
      <w:bookmarkStart w:id="29" w:name="_Toc358238893"/>
      <w:r w:rsidRPr="002925FD">
        <w:rPr>
          <w:lang w:val="pt-PT"/>
        </w:rPr>
        <w:lastRenderedPageBreak/>
        <w:t xml:space="preserve">Especificação da Integração </w:t>
      </w:r>
      <w:r>
        <w:rPr>
          <w:lang w:val="pt-PT"/>
        </w:rPr>
        <w:t>Sistemas de Informação</w:t>
      </w:r>
      <w:bookmarkEnd w:id="29"/>
    </w:p>
    <w:p w:rsidR="00CD43CC" w:rsidRDefault="0067543C" w:rsidP="00CD43CC">
      <w:pPr>
        <w:pStyle w:val="Subtitle"/>
      </w:pPr>
      <w:bookmarkStart w:id="30" w:name="_Toc358238894"/>
      <w:r>
        <w:rPr>
          <w:b/>
        </w:rPr>
        <w:t>INTSI.00</w:t>
      </w:r>
      <w:r w:rsidR="00CD43CC" w:rsidRPr="00CB3ABB">
        <w:rPr>
          <w:b/>
        </w:rPr>
        <w:t xml:space="preserve"> –</w:t>
      </w:r>
      <w:r w:rsidR="00CD43CC">
        <w:rPr>
          <w:b/>
        </w:rPr>
        <w:t xml:space="preserve"> </w:t>
      </w:r>
      <w:r>
        <w:t>Funcionamento Geral do Website</w:t>
      </w:r>
      <w:bookmarkEnd w:id="30"/>
    </w:p>
    <w:p w:rsidR="0067543C" w:rsidRPr="0067543C" w:rsidRDefault="0067543C" w:rsidP="0067543C">
      <w:pPr>
        <w:rPr>
          <w:lang w:val="pt-PT"/>
        </w:rPr>
      </w:pP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.00.00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fazer o login.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opção onde é possível realizar o registo.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O Website contém uma barra lateral com várias opções a escolher.</w:t>
      </w:r>
    </w:p>
    <w:p w:rsidR="0067543C" w:rsidRPr="0067543C" w:rsidRDefault="0067543C" w:rsidP="0067543C">
      <w:pPr>
        <w:ind w:left="72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Esta barra deve poder ser encolhida/escondida para um melhor aproveitamento do espaço de trabalho.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um separador para entrar na secção do IDE.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b/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vídeos tutoriais.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Nesta secção, existem várias áreas de vídeos tutorias que podem ser escolhidas.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cálculo.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arrays.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decisão.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tutoriais de funções.</w:t>
      </w: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.01.02.3.6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a área de vídeos tutorias de repetição.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de BackOffice.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Existe o separador para entrar na secção do Fórum.</w:t>
      </w:r>
    </w:p>
    <w:p w:rsidR="0067543C" w:rsidRPr="0067543C" w:rsidRDefault="0067543C" w:rsidP="0067543C">
      <w:pPr>
        <w:rPr>
          <w:sz w:val="24"/>
          <w:szCs w:val="24"/>
          <w:lang w:val="pt-PT"/>
        </w:rPr>
      </w:pPr>
      <w:r w:rsidRPr="0067543C">
        <w:rPr>
          <w:sz w:val="24"/>
          <w:szCs w:val="24"/>
          <w:lang w:val="pt-PT"/>
        </w:rPr>
        <w:tab/>
      </w:r>
      <w:r w:rsidRPr="0067543C">
        <w:rPr>
          <w:sz w:val="24"/>
          <w:szCs w:val="24"/>
          <w:lang w:val="pt-PT"/>
        </w:rPr>
        <w:tab/>
      </w: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criar um novo tópico.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.01.02.5.2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a opção para adicionar uma descrição do tópico que se está a criar.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poder salvar o novo tópico criado.</w:t>
      </w:r>
    </w:p>
    <w:p w:rsidR="0067543C" w:rsidRPr="0067543C" w:rsidRDefault="0067543C" w:rsidP="0067543C">
      <w:pPr>
        <w:ind w:left="1440"/>
        <w:rPr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.01.02.4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Deve existir um botão para cancelar o novo tópico que se estava a criar</w:t>
      </w:r>
    </w:p>
    <w:p w:rsidR="0067543C" w:rsidRPr="0067543C" w:rsidRDefault="0067543C" w:rsidP="0067543C">
      <w:pPr>
        <w:rPr>
          <w:b/>
          <w:sz w:val="24"/>
          <w:szCs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</w:t>
      </w:r>
      <w:r>
        <w:rPr>
          <w:b/>
          <w:sz w:val="24"/>
          <w:szCs w:val="24"/>
          <w:lang w:val="pt-PT"/>
        </w:rPr>
        <w:t>.01.03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67543C">
        <w:rPr>
          <w:sz w:val="24"/>
          <w:szCs w:val="24"/>
          <w:lang w:val="pt-PT"/>
        </w:rPr>
        <w:t>A área central do website irá conter a informação escolhida pelo utilizador, através dos tópicos no separador.</w:t>
      </w:r>
    </w:p>
    <w:p w:rsidR="00CD43CC" w:rsidRPr="002925FD" w:rsidRDefault="004C247E" w:rsidP="00D749DA">
      <w:pPr>
        <w:pStyle w:val="Subtitle"/>
      </w:pPr>
      <w:bookmarkStart w:id="31" w:name="_Toc358238895"/>
      <w:r w:rsidRPr="004C247E">
        <w:rPr>
          <w:b/>
        </w:rPr>
        <w:t xml:space="preserve">INTSI.01 – </w:t>
      </w:r>
      <w:r>
        <w:t>Funcionalidades Utilizador Visitante</w:t>
      </w:r>
      <w:bookmarkEnd w:id="31"/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tem o direito de consultar apenas a página principal do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pode criar fluxogramas no site, mas não pode guarda-los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INTSI.01.02 -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Para guardar fluxogramas no site o utilizador tem de criar uma conta no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INTSI.01.03 -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INTSI.01.04 -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>
        <w:rPr>
          <w:b/>
          <w:sz w:val="24"/>
          <w:szCs w:val="24"/>
          <w:lang w:val="pt-PT"/>
        </w:rPr>
        <w:t>05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INTSI.01.06 -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INTSI.01.07 -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INTSI.01.08 -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 correio electrónico desde que este seja válido.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INTSI.01.10 -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INTSI.01.11 -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o seu primeiro e último nome no registo.</w:t>
      </w:r>
    </w:p>
    <w:p w:rsidR="004C247E" w:rsidRPr="00D749DA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 w:rsidRPr="00D749DA">
        <w:rPr>
          <w:b/>
          <w:sz w:val="24"/>
          <w:szCs w:val="24"/>
          <w:lang w:val="pt-PT"/>
        </w:rPr>
        <w:t>1</w:t>
      </w:r>
      <w:r w:rsidRPr="004C247E">
        <w:rPr>
          <w:b/>
          <w:sz w:val="24"/>
          <w:szCs w:val="24"/>
          <w:lang w:val="pt-PT"/>
        </w:rPr>
        <w:t>2 -</w:t>
      </w:r>
      <w:r w:rsidRPr="004C247E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concordar com os termos de uso e privacidade do site para se poder registar.</w:t>
      </w:r>
    </w:p>
    <w:p w:rsidR="004C247E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INTSI.01.13 -</w:t>
      </w:r>
      <w:r w:rsidRPr="00D749DA">
        <w:rPr>
          <w:sz w:val="24"/>
          <w:szCs w:val="24"/>
          <w:lang w:val="pt-PT"/>
        </w:rPr>
        <w:t xml:space="preserve"> </w:t>
      </w:r>
      <w:r w:rsidR="004C247E" w:rsidRPr="00D749DA">
        <w:rPr>
          <w:rFonts w:ascii="Garamond" w:hAnsi="Garamond"/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2" w:name="_Toc358238896"/>
      <w:r>
        <w:rPr>
          <w:b/>
        </w:rPr>
        <w:t>INTSI.02</w:t>
      </w:r>
      <w:r w:rsidRPr="004C247E">
        <w:rPr>
          <w:b/>
        </w:rPr>
        <w:t xml:space="preserve"> – </w:t>
      </w:r>
      <w:r>
        <w:t>Funcionalidades Utilizador Aluno</w:t>
      </w:r>
      <w:bookmarkEnd w:id="32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INTSI.02.00 -</w:t>
      </w:r>
      <w:r w:rsidRPr="00D749DA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INTSI.02.01 -</w:t>
      </w:r>
      <w:r w:rsidRPr="00D749DA">
        <w:rPr>
          <w:rFonts w:ascii="Garamond" w:hAnsi="Garamond"/>
          <w:bCs/>
          <w:sz w:val="24"/>
          <w:lang w:val="pt-PT"/>
        </w:rPr>
        <w:t xml:space="preserve">O utilizador pode inserir um avatar no seu perfil. </w:t>
      </w:r>
      <w:r w:rsidRPr="0067543C">
        <w:rPr>
          <w:rFonts w:ascii="Garamond" w:hAnsi="Garamond"/>
          <w:bCs/>
          <w:sz w:val="24"/>
          <w:lang w:val="pt-PT"/>
        </w:rPr>
        <w:t>É conveniente que seja uma fotografia sua do tipo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INTSI.02.02 -</w:t>
      </w:r>
      <w:r w:rsidRPr="00D749DA">
        <w:rPr>
          <w:rFonts w:ascii="Garamond" w:hAnsi="Garamond"/>
          <w:bCs/>
          <w:sz w:val="24"/>
          <w:lang w:val="pt-PT"/>
        </w:rPr>
        <w:t>O utilizador pode alterar a sua palavra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INTSI.02.03 -</w:t>
      </w:r>
      <w:r w:rsidRPr="00D749DA">
        <w:rPr>
          <w:rFonts w:ascii="Garamond" w:hAnsi="Garamond"/>
          <w:bCs/>
          <w:sz w:val="24"/>
          <w:lang w:val="pt-PT"/>
        </w:rPr>
        <w:t>O utilizador pode inserir a sua morada, profissão e contactos.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INTSI.02.04 -</w:t>
      </w:r>
      <w:r w:rsidRPr="00D749DA">
        <w:rPr>
          <w:rFonts w:ascii="Garamond" w:hAnsi="Garamond"/>
          <w:bCs/>
          <w:sz w:val="24"/>
          <w:lang w:val="pt-PT"/>
        </w:rPr>
        <w:t>O utilizador pode consultar fluxogramas criados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INTSI.02.05 -</w:t>
      </w:r>
      <w:r w:rsidRPr="00D749DA">
        <w:rPr>
          <w:rFonts w:ascii="Garamond" w:hAnsi="Garamond"/>
          <w:bCs/>
          <w:sz w:val="24"/>
          <w:lang w:val="pt-PT"/>
        </w:rPr>
        <w:t>O utlizador pode comentar fluxogramas criados por outros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INTSI.02.06 -</w:t>
      </w:r>
      <w:r w:rsidRPr="00D749DA">
        <w:rPr>
          <w:rFonts w:ascii="Garamond" w:hAnsi="Garamond"/>
          <w:bCs/>
          <w:sz w:val="24"/>
          <w:lang w:val="pt-PT"/>
        </w:rPr>
        <w:t>O utilizador pode dar feedback positivo ou negativo aos comentários de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INTSI.02.07 -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INTSI.02.08 -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INTSI.02.09 -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INTSI.02.10 -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resolver testes criados por professor(es)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INTSI.02.11 -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deve ter acesso à nota final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INTSI.02.12 -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ter acesso à revisão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INTSI.02.13 -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INTSI.02.14 -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INTSI.02.15 -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resolver testes criados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INTSI.02.16 -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INTSI.02.17 -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INTSI.02.18 -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pStyle w:val="Subtitle"/>
      </w:pPr>
      <w:bookmarkStart w:id="33" w:name="_Toc358238897"/>
      <w:r>
        <w:rPr>
          <w:b/>
        </w:rPr>
        <w:t>INTSI.03</w:t>
      </w:r>
      <w:r w:rsidRPr="004C247E">
        <w:rPr>
          <w:b/>
        </w:rPr>
        <w:t xml:space="preserve"> – </w:t>
      </w:r>
      <w:r>
        <w:t>Funcionalidades Utilizador Professor</w:t>
      </w:r>
      <w:bookmarkEnd w:id="33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INTSI.03.00 - </w:t>
      </w:r>
      <w:r w:rsidRPr="00D749DA">
        <w:rPr>
          <w:rFonts w:ascii="Garamond" w:hAnsi="Garamond"/>
          <w:bCs/>
          <w:sz w:val="24"/>
          <w:lang w:val="pt-PT"/>
        </w:rPr>
        <w:t>O professor deve ter uma conta no domínio moodle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INTSI.03.01 - </w:t>
      </w:r>
      <w:r w:rsidRPr="00D749DA">
        <w:rPr>
          <w:rFonts w:ascii="Garamond" w:hAnsi="Garamond"/>
          <w:bCs/>
          <w:sz w:val="24"/>
          <w:lang w:val="pt-PT"/>
        </w:rPr>
        <w:t>O professor pode criar turmas.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INTSI.03.02 - </w:t>
      </w:r>
      <w:r w:rsidRPr="00D749DA">
        <w:rPr>
          <w:rFonts w:ascii="Garamond" w:hAnsi="Garamond"/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INTSI.03.03 - </w:t>
      </w:r>
      <w:r w:rsidRPr="00D749DA">
        <w:rPr>
          <w:rFonts w:ascii="Garamond" w:hAnsi="Garamond"/>
          <w:bCs/>
          <w:sz w:val="24"/>
          <w:lang w:val="pt-PT"/>
        </w:rPr>
        <w:t>O professor responsável pode gerir os privilégios na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INTSI.03.04 - </w:t>
      </w:r>
      <w:r w:rsidRPr="00D749DA">
        <w:rPr>
          <w:rFonts w:ascii="Garamond" w:hAnsi="Garamond"/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INTSI.03.05 - </w:t>
      </w:r>
      <w:r w:rsidRPr="00D749DA">
        <w:rPr>
          <w:rFonts w:ascii="Garamond" w:hAnsi="Garamond"/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INTSI.03.06 -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INTSI.03.07 -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INTSI.03.08 -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INTSI.03.09 -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INTSI.03.10 -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INTSI.03.11 -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INTSI.03.12 -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INTSI.03.13 -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INTSI.03.14 - </w:t>
      </w:r>
      <w:r w:rsidRPr="00D749DA">
        <w:rPr>
          <w:rFonts w:ascii="Garamond" w:hAnsi="Garamond"/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INTSI.03.15 - </w:t>
      </w:r>
      <w:r w:rsidRPr="00D749DA">
        <w:rPr>
          <w:rFonts w:ascii="Garamond" w:hAnsi="Garamond"/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INTSI.03.16 - </w:t>
      </w:r>
      <w:r w:rsidRPr="00D749DA">
        <w:rPr>
          <w:rFonts w:ascii="Garamond" w:hAnsi="Garamond"/>
          <w:sz w:val="24"/>
          <w:szCs w:val="24"/>
          <w:lang w:val="pt-PT"/>
        </w:rPr>
        <w:t>Pode remover exercícios criados pelos alunos nas turmas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4" w:name="_Toc358238898"/>
      <w:r>
        <w:rPr>
          <w:b/>
        </w:rPr>
        <w:t>INTSI.04</w:t>
      </w:r>
      <w:r w:rsidRPr="004C247E">
        <w:rPr>
          <w:b/>
        </w:rPr>
        <w:t xml:space="preserve"> – </w:t>
      </w:r>
      <w:r>
        <w:t>Funcionalidades Administrador do Sistema</w:t>
      </w:r>
      <w:bookmarkEnd w:id="34"/>
    </w:p>
    <w:p w:rsid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INTSI.04.00 - </w:t>
      </w:r>
      <w:r w:rsidRPr="00D749DA">
        <w:rPr>
          <w:rFonts w:ascii="Garamond" w:hAnsi="Garamond"/>
          <w:sz w:val="24"/>
          <w:szCs w:val="24"/>
          <w:lang w:val="pt-PT"/>
        </w:rPr>
        <w:t>Pode promover Utilizadores a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INTSI.04.01 - </w:t>
      </w:r>
      <w:r w:rsidRPr="00D749DA">
        <w:rPr>
          <w:rFonts w:ascii="Garamond" w:hAnsi="Garamond"/>
          <w:sz w:val="24"/>
          <w:szCs w:val="24"/>
          <w:lang w:val="pt-PT"/>
        </w:rPr>
        <w:t>Pode despromover Professores a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INTSI.04.02 - </w:t>
      </w:r>
      <w:r w:rsidRPr="00D749DA">
        <w:rPr>
          <w:rFonts w:ascii="Garamond" w:hAnsi="Garamond"/>
          <w:sz w:val="24"/>
          <w:szCs w:val="24"/>
          <w:lang w:val="pt-PT"/>
        </w:rPr>
        <w:t>Pode adicionar ou remover privilégios aos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INTSI.04.03 - </w:t>
      </w:r>
      <w:r w:rsidRPr="00D749DA">
        <w:rPr>
          <w:rFonts w:ascii="Garamond" w:hAnsi="Garamond"/>
          <w:sz w:val="24"/>
          <w:szCs w:val="24"/>
          <w:lang w:val="pt-PT"/>
        </w:rPr>
        <w:t>Pode eliminar utilizadores do sistema</w:t>
      </w:r>
    </w:p>
    <w:p w:rsidR="00D749DA" w:rsidRPr="0067543C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 w:rsidRPr="0067543C">
        <w:rPr>
          <w:b/>
          <w:sz w:val="24"/>
          <w:szCs w:val="24"/>
          <w:lang w:val="pt-PT"/>
        </w:rPr>
        <w:t>.04.04</w:t>
      </w:r>
      <w:r w:rsidRPr="00D749DA">
        <w:rPr>
          <w:b/>
          <w:sz w:val="24"/>
          <w:szCs w:val="24"/>
          <w:lang w:val="pt-PT"/>
        </w:rPr>
        <w:t xml:space="preserve"> - </w:t>
      </w:r>
      <w:r w:rsidRPr="0067543C">
        <w:rPr>
          <w:rFonts w:ascii="Garamond" w:hAnsi="Garamond"/>
          <w:sz w:val="24"/>
          <w:szCs w:val="24"/>
          <w:lang w:val="pt-PT"/>
        </w:rPr>
        <w:t>Pode eliminar turmas existentes</w:t>
      </w:r>
    </w:p>
    <w:p w:rsidR="00D749DA" w:rsidRPr="00D749DA" w:rsidRDefault="00D749DA" w:rsidP="00D749DA">
      <w:pPr>
        <w:rPr>
          <w:lang w:val="pt-PT"/>
        </w:rPr>
      </w:pPr>
    </w:p>
    <w:p w:rsidR="0067543C" w:rsidRDefault="0067543C" w:rsidP="0067543C">
      <w:pPr>
        <w:pStyle w:val="Subtitle"/>
      </w:pPr>
      <w:bookmarkStart w:id="35" w:name="_Toc358238899"/>
      <w:r>
        <w:rPr>
          <w:b/>
        </w:rPr>
        <w:t>INTSI.05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Recuperação de Palavras-Passe</w:t>
      </w:r>
      <w:bookmarkEnd w:id="35"/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INTSI.00.00 -</w:t>
      </w:r>
      <w:r w:rsidRPr="00CD43CC">
        <w:rPr>
          <w:sz w:val="24"/>
          <w:szCs w:val="24"/>
          <w:lang w:val="pt-PT"/>
        </w:rPr>
        <w:t xml:space="preserve"> O utilizador realiza o pedido de uma nova palavra-passe.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INTSI.00.01 -</w:t>
      </w:r>
      <w:r w:rsidRPr="00CD43CC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INTSI.00.02 -</w:t>
      </w:r>
      <w:r w:rsidRPr="00CD43CC">
        <w:rPr>
          <w:sz w:val="24"/>
          <w:szCs w:val="24"/>
          <w:lang w:val="pt-PT"/>
        </w:rPr>
        <w:t xml:space="preserve"> O sistema verifica se o e-mail existe na base de dados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sz w:val="24"/>
          <w:szCs w:val="24"/>
          <w:lang w:val="pt-PT"/>
        </w:rPr>
        <w:tab/>
      </w:r>
      <w:r w:rsidRPr="00CD43CC">
        <w:rPr>
          <w:b/>
          <w:sz w:val="24"/>
          <w:szCs w:val="24"/>
          <w:lang w:val="pt-PT"/>
        </w:rPr>
        <w:t>INTSI.00.02.1 -</w:t>
      </w:r>
      <w:r w:rsidRPr="00CD43CC">
        <w:rPr>
          <w:sz w:val="24"/>
          <w:szCs w:val="24"/>
          <w:lang w:val="pt-PT"/>
        </w:rPr>
        <w:t xml:space="preserve"> Se não existir, o endereço inserido é inválido. </w:t>
      </w:r>
    </w:p>
    <w:p w:rsidR="0067543C" w:rsidRPr="00CD43CC" w:rsidRDefault="0067543C" w:rsidP="0067543C">
      <w:pPr>
        <w:ind w:left="708"/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INTSI.00.02.2 -</w:t>
      </w:r>
      <w:r w:rsidRPr="00CD43CC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Pr="00CD43CC" w:rsidRDefault="0067543C" w:rsidP="0067543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INTSI.00.03 -</w:t>
      </w:r>
      <w:r w:rsidRPr="00CD43CC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CE6D14" w:rsidRDefault="00CE6D14" w:rsidP="00C90895">
      <w:pPr>
        <w:rPr>
          <w:sz w:val="24"/>
          <w:szCs w:val="24"/>
          <w:lang w:val="pt-PT"/>
        </w:rPr>
      </w:pPr>
    </w:p>
    <w:p w:rsidR="00961FF3" w:rsidRDefault="00961FF3" w:rsidP="00C90895">
      <w:pPr>
        <w:rPr>
          <w:sz w:val="24"/>
          <w:szCs w:val="24"/>
          <w:lang w:val="pt-PT"/>
        </w:rPr>
      </w:pPr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167A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88296-441A-4261-B59C-E8B629E6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34</Pages>
  <Words>5456</Words>
  <Characters>29465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59</cp:revision>
  <dcterms:created xsi:type="dcterms:W3CDTF">2013-04-18T14:05:00Z</dcterms:created>
  <dcterms:modified xsi:type="dcterms:W3CDTF">2013-06-05T22:39:00Z</dcterms:modified>
</cp:coreProperties>
</file>