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Times New Roman" w:cs="Times New Roman" w:eastAsia="Times New Roman" w:hAnsi="Times New Roman"/>
          <w:sz w:val="36"/>
          <w:szCs w:val="36"/>
          <w:rtl w:val="0"/>
        </w:rPr>
        <w:t xml:space="preserve">Galley Return </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SIADS MS#M103729</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Title: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Periodic eigendecomposition and its application to  Kuramoto-Sivashinsky system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Authors: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Xiong Ding and  Predrag Cvitanovi\'c</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color w:val="222222"/>
          <w:sz w:val="19"/>
          <w:szCs w:val="19"/>
          <w:highlight w:val="white"/>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Dear </w:t>
      </w:r>
      <w:r w:rsidDel="00000000" w:rsidR="00000000" w:rsidRPr="00000000">
        <w:rPr>
          <w:rFonts w:ascii="Times New Roman" w:cs="Times New Roman" w:eastAsia="Times New Roman" w:hAnsi="Times New Roman"/>
          <w:rtl w:val="0"/>
        </w:rPr>
        <w:t xml:space="preserve">Lesa M. Chmielewski,</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Thanks for carefully proofreading this paper. We can see an incredible improvement compared with the older version. Our answers to your queries are listed below with page numbers tagged. Important information is displayed in bold letters. </w:t>
      </w:r>
      <w:r w:rsidDel="00000000" w:rsidR="00000000" w:rsidRPr="00000000">
        <w:rPr>
          <w:rFonts w:ascii="Times New Roman" w:cs="Times New Roman" w:eastAsia="Times New Roman" w:hAnsi="Times New Roman"/>
          <w:rtl w:val="0"/>
        </w:rPr>
        <w:t xml:space="preserve">All responses are referring to the manuscript with queries and copy-editing marks.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Thanks again for you valuable time.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Sincerely yours,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Xiong Ding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19"/>
          <w:szCs w:val="19"/>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Page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AQ: This is the edited manuscript. Changes marked here in red and blue have been implemented in the galley file (M103729-gg.pdf). Please respond to queries noted throughout this manuscript.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Response : Yes. We understand.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Page 7</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AQ: Do we need some transitional text before the display?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Response : Thanks. This is a good point. We could add a sentence :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“Let the corresponding eigendecomposition be”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just after sentence “This product can be diagonalized if and only if the sum of dimensions of eigenspaces of J(0) is n” and before equation (3.2).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Page 7</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AQ: See the galley proof for the actual line breaks. Is it OK to break the math as edited? If not, please revise the text to produce different line breaks.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Response : The line breaks are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19"/>
          <w:szCs w:val="1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Page 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AQ: See the galley proof for actual positions of all 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Response : Thanks. They look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19"/>
          <w:szCs w:val="1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Page 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AQ: If possible, provide DOI numbers for any applicable references. We will create the links. We have already added the DOIs for the SIAM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Response :  We form a DOI table at the bottom.  It contains the DOIs of the references to the best of our knowledge. Also, some issues should be pointed out for the 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1)  Reference [5] has a wrong title. We find the correct title 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“Spatiotemporal chaos in terms of unstable recurrent patterns”.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Sorry for this mistake.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We made a minor mistake in the title of reference [11]. The correct title 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“The QR transformation: A unitary analogue to the LR transformation--</w:t>
      </w:r>
      <w:r w:rsidDel="00000000" w:rsidR="00000000" w:rsidRPr="00000000">
        <w:rPr>
          <w:rFonts w:ascii="Times New Roman" w:cs="Times New Roman" w:eastAsia="Times New Roman" w:hAnsi="Times New Roman"/>
          <w:b w:val="1"/>
          <w:color w:val="ff0000"/>
          <w:rtl w:val="0"/>
        </w:rPr>
        <w:t xml:space="preserve">Part</w:t>
      </w:r>
      <w:r w:rsidDel="00000000" w:rsidR="00000000" w:rsidRPr="00000000">
        <w:rPr>
          <w:rFonts w:ascii="Times New Roman" w:cs="Times New Roman" w:eastAsia="Times New Roman" w:hAnsi="Times New Roman"/>
          <w:b w:val="1"/>
          <w:rtl w:val="0"/>
        </w:rPr>
        <w:t xml:space="preserve"> 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Also, we think the publication year is 1961 not 1961/1962, because part II is published in 1962.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19"/>
          <w:szCs w:val="1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Page 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AQ: Note the title revision in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Response : Thanks for pointing out our error. But we think there is typo in the title of the revised version of [2]:  </w:t>
      </w:r>
      <w:r w:rsidDel="00000000" w:rsidR="00000000" w:rsidRPr="00000000">
        <w:rPr>
          <w:rFonts w:ascii="Times New Roman" w:cs="Times New Roman" w:eastAsia="Times New Roman" w:hAnsi="Times New Roman"/>
          <w:b w:val="1"/>
          <w:rtl w:val="0"/>
        </w:rPr>
        <w:t xml:space="preserve">Hamilitonian -&gt; H</w:t>
      </w:r>
      <w:r w:rsidDel="00000000" w:rsidR="00000000" w:rsidRPr="00000000">
        <w:rPr>
          <w:rFonts w:ascii="Times New Roman" w:cs="Times New Roman" w:eastAsia="Times New Roman" w:hAnsi="Times New Roman"/>
          <w:b w:val="1"/>
          <w:rtl w:val="0"/>
        </w:rPr>
        <w:t xml:space="preserve">amiltonian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19"/>
          <w:szCs w:val="1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Page 21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AQ: We have removed the arXiv links in [8, 12, 13, 14, 21, 27, 36, 37] since the papers have been published elsewhere. If it is important to include the arXiv preprints, we can create separate references and revise the citations in the text to include both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Response : We totally agree with your decision. There is no need to create two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DOIs of the references</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730"/>
        <w:tblGridChange w:id="0">
          <w:tblGrid>
            <w:gridCol w:w="630"/>
            <w:gridCol w:w="87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10.1002/1099-1506(200007/08)7:5&lt;275::AID-NLA198&gt;3.0.CO;2-G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10.1007/BF02128236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10.1103/PhysRevE.82.046218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10.1088/0951-7715/10/1/004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10.1006/jcph.2002.6995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10.1016/S0167-2789(98)00013-X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10.1093/comjnl/4.3.265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10.1017/S002211200800267X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10.1088/1751-8113/46/25/254005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10.1103/PhysRevLett.99.130601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10.1103/PhysRevE.85.016331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10.1088/1751-8113/46/25/254016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10.1007/s00332-012-9126-5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10.1143/PTP.54.687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10.1142/S0218127401003486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10.1016/0094-5765(77)90097-2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10.1007/BF02684768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10.1103/PhysRevE.84.046214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10.1007/BF03024036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10.4169/amer.math.monthly.118.05.387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10.1111/j.1600-0870.2007.00234.x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10.1103/PhysRevLett.108.154101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10.1103/PhysRevE.82.046204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10.1103/PhysRevLett.102.074102</w:t>
            </w:r>
          </w:p>
        </w:tc>
      </w:tr>
    </w:tbl>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