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lang w:val="en-US"/>
        </w:rPr>
      </w:pPr>
      <w:r>
        <w:rPr>
          <w:b/>
          <w:lang w:val="en-US"/>
        </w:rPr>
        <w:t>Table S4.</w:t>
      </w:r>
      <w:r>
        <w:rPr>
          <w:lang w:val="en-US"/>
        </w:rPr>
        <w:t xml:space="preserve"> Net flux values for the central metabolic pathways</w:t>
      </w:r>
      <w:r>
        <w:rPr>
          <w:rFonts w:eastAsia="Times New Roman"/>
          <w:i/>
          <w:color w:val="000000"/>
          <w:sz w:val="23"/>
          <w:szCs w:val="23"/>
          <w:vertAlign w:val="superscript"/>
          <w:lang w:val="en-US"/>
        </w:rPr>
        <w:t>a</w:t>
      </w:r>
      <w:r>
        <w:rPr>
          <w:lang w:val="en-US"/>
        </w:rPr>
        <w:t xml:space="preserve"> of </w:t>
      </w:r>
      <w:r>
        <w:rPr>
          <w:i/>
          <w:lang w:val="en-US"/>
        </w:rPr>
        <w:t>Pseudomonas putida</w:t>
      </w:r>
      <w:r>
        <w:rPr>
          <w:lang w:val="en-US"/>
        </w:rPr>
        <w:t xml:space="preserve"> KT2440 grown on glucose.</w:t>
      </w:r>
    </w:p>
    <w:p>
      <w:pPr>
        <w:rPr>
          <w:lang w:val="en-US"/>
        </w:rPr>
      </w:pPr>
    </w:p>
    <w:tbl>
      <w:tblPr>
        <w:tblStyle w:val="6"/>
        <w:tblW w:w="8604" w:type="dxa"/>
        <w:tblInd w:w="97" w:type="dxa"/>
        <w:tbl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357"/>
        <w:gridCol w:w="1519"/>
        <w:gridCol w:w="3393"/>
      </w:tblGrid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335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Functional block</w:t>
            </w:r>
          </w:p>
        </w:tc>
        <w:tc>
          <w:tcPr>
            <w:tcW w:w="1357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Reaction code </w:t>
            </w:r>
          </w:p>
        </w:tc>
        <w:tc>
          <w:tcPr>
            <w:tcW w:w="1519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BiGG ID</w:t>
            </w:r>
          </w:p>
        </w:tc>
        <w:tc>
          <w:tcPr>
            <w:tcW w:w="3393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b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b/>
                <w:color w:val="000000"/>
                <w:szCs w:val="24"/>
                <w:lang w:val="en-US"/>
              </w:rPr>
              <w:t xml:space="preserve">Flux value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(mmol g</w:t>
            </w:r>
            <w:r>
              <w:rPr>
                <w:rFonts w:eastAsia="Times New Roman"/>
                <w:color w:val="000000"/>
                <w:szCs w:val="24"/>
                <w:vertAlign w:val="subscript"/>
                <w:lang w:val="en-US"/>
              </w:rPr>
              <w:t>CDW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-1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 h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-1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)</w:t>
            </w:r>
            <w:r>
              <w:rPr>
                <w:rFonts w:eastAsia="Times New Roman"/>
                <w:b/>
                <w:color w:val="000000"/>
                <w:szCs w:val="24"/>
                <w:lang w:val="en-US"/>
              </w:rPr>
              <w:t xml:space="preserve"> ± SE</w:t>
            </w:r>
            <w:r>
              <w:rPr>
                <w:rFonts w:eastAsia="Times New Roman"/>
                <w:i/>
                <w:color w:val="000000"/>
                <w:szCs w:val="24"/>
                <w:vertAlign w:val="superscript"/>
                <w:lang w:val="en-US"/>
              </w:rPr>
              <w:t>b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F79646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 xml:space="preserve">Peripheral </w:t>
            </w:r>
          </w:p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>pathways</w:t>
            </w:r>
          </w:p>
        </w:tc>
        <w:tc>
          <w:tcPr>
            <w:tcW w:w="1357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</w:t>
            </w:r>
          </w:p>
        </w:tc>
        <w:tc>
          <w:tcPr>
            <w:tcW w:w="1519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GLCDpp</w:t>
            </w:r>
          </w:p>
        </w:tc>
        <w:tc>
          <w:tcPr>
            <w:tcW w:w="3393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5.51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F79646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</w:t>
            </w:r>
          </w:p>
        </w:tc>
        <w:tc>
          <w:tcPr>
            <w:tcW w:w="1519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GAD2ktpp</w:t>
            </w:r>
          </w:p>
        </w:tc>
        <w:tc>
          <w:tcPr>
            <w:tcW w:w="3393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0.72 ± 0.06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F79646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519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GNK</w:t>
            </w:r>
          </w:p>
        </w:tc>
        <w:tc>
          <w:tcPr>
            <w:tcW w:w="3393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4.79 ± 0.07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F79646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  <w:tc>
          <w:tcPr>
            <w:tcW w:w="1519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2DHGLCK</w:t>
            </w:r>
          </w:p>
        </w:tc>
        <w:tc>
          <w:tcPr>
            <w:tcW w:w="3393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0.72 ± 0.06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F79646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6</w:t>
            </w:r>
          </w:p>
        </w:tc>
        <w:tc>
          <w:tcPr>
            <w:tcW w:w="1519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PGLCNDH</w:t>
            </w:r>
          </w:p>
        </w:tc>
        <w:tc>
          <w:tcPr>
            <w:tcW w:w="3393" w:type="dxa"/>
            <w:shd w:val="clear" w:color="auto" w:fill="FBD4B4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0.72 ± 0.06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 xml:space="preserve">Pentose phosphate </w:t>
            </w:r>
          </w:p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>pathway</w:t>
            </w: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7</w:t>
            </w:r>
          </w:p>
        </w:tc>
        <w:tc>
          <w:tcPr>
            <w:tcW w:w="1519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G6PDH2</w:t>
            </w:r>
            <w:r>
              <w:rPr>
                <w:rFonts w:hint="default"/>
                <w:sz w:val="23"/>
                <w:szCs w:val="23"/>
              </w:rPr>
              <w:t xml:space="preserve"> / PGL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1.17 ± 0.07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1519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GND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0.59 ± 0.03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11</w:t>
            </w:r>
          </w:p>
        </w:tc>
        <w:tc>
          <w:tcPr>
            <w:tcW w:w="1519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RPE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0.15 ± 0.59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1519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RPI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0.44 ± 0.59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13</w:t>
            </w:r>
          </w:p>
        </w:tc>
        <w:tc>
          <w:tcPr>
            <w:tcW w:w="1519" w:type="dxa"/>
            <w:shd w:val="clear" w:color="auto" w:fill="F2DBDB"/>
            <w:vAlign w:val="top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TKT1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0.15 ± 0.01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C0504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14</w:t>
            </w:r>
          </w:p>
        </w:tc>
        <w:tc>
          <w:tcPr>
            <w:tcW w:w="1519" w:type="dxa"/>
            <w:shd w:val="clear" w:color="auto" w:fill="F2DBDB"/>
            <w:vAlign w:val="top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TKT</w:t>
            </w:r>
            <w:r>
              <w:rPr>
                <w:rFonts w:hint="default"/>
                <w:sz w:val="23"/>
                <w:szCs w:val="23"/>
              </w:rPr>
              <w:t>2</w:t>
            </w:r>
          </w:p>
        </w:tc>
        <w:tc>
          <w:tcPr>
            <w:tcW w:w="3393" w:type="dxa"/>
            <w:shd w:val="clear" w:color="auto" w:fill="F2DBDB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0.01 ± 0.01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9BBB59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 xml:space="preserve">Entner-Doudoroff </w:t>
            </w:r>
          </w:p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>pathway</w:t>
            </w:r>
          </w:p>
        </w:tc>
        <w:tc>
          <w:tcPr>
            <w:tcW w:w="1357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8</w:t>
            </w:r>
          </w:p>
        </w:tc>
        <w:tc>
          <w:tcPr>
            <w:tcW w:w="1519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EDD</w:t>
            </w:r>
          </w:p>
        </w:tc>
        <w:tc>
          <w:tcPr>
            <w:tcW w:w="3393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6.11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9BBB59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9</w:t>
            </w:r>
          </w:p>
        </w:tc>
        <w:tc>
          <w:tcPr>
            <w:tcW w:w="1519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EDA</w:t>
            </w:r>
          </w:p>
        </w:tc>
        <w:tc>
          <w:tcPr>
            <w:tcW w:w="3393" w:type="dxa"/>
            <w:shd w:val="clear" w:color="auto" w:fill="D6E3BC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6.11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>Embden-Meyerhof-Parnas pathway</w:t>
            </w: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GLK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0.63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15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TALA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0.15 ± 0.01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16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PGI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0.57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17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FBP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0.46 ± 0.03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18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FBA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0.46 ± 0.03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19</w:t>
            </w:r>
          </w:p>
        </w:tc>
        <w:tc>
          <w:tcPr>
            <w:tcW w:w="1519" w:type="dxa"/>
            <w:shd w:val="clear" w:color="auto" w:fill="CCC0D9"/>
            <w:vAlign w:val="top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TPI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0.46 ± 0.03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20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GAPD/PGK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5.11 ± 0.04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8064A2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21</w:t>
            </w:r>
          </w:p>
        </w:tc>
        <w:tc>
          <w:tcPr>
            <w:tcW w:w="1519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PGM/ENO</w:t>
            </w:r>
          </w:p>
        </w:tc>
        <w:tc>
          <w:tcPr>
            <w:tcW w:w="3393" w:type="dxa"/>
            <w:shd w:val="clear" w:color="auto" w:fill="CCC0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4.36 ± 0.07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  <w:lang w:val="en-US"/>
              </w:rPr>
            </w:pPr>
            <w:r>
              <w:rPr>
                <w:rFonts w:eastAsia="Times New Roman"/>
                <w:b/>
                <w:color w:val="FFFFFF"/>
                <w:szCs w:val="24"/>
                <w:lang w:val="en-US"/>
              </w:rPr>
              <w:t>Tricarboxylic acid cycle / Glyoxylate shunt</w:t>
            </w: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22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PYK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3.89 ± 0.08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23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PDH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6.67 ± 0.18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24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CS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5.44 ± 0.21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25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ACONTa/b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5.44 ± 0.21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26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</w:rPr>
              <w:t>ICDHyr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bookmarkStart w:id="0" w:name="_GoBack"/>
            <w:r>
              <w:rPr>
                <w:rFonts w:eastAsia="Times New Roman"/>
                <w:color w:val="000000"/>
                <w:szCs w:val="24"/>
              </w:rPr>
              <w:t>5.44 ± 0.21</w:t>
            </w:r>
          </w:p>
          <w:bookmarkEnd w:id="0"/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27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AKGDH</w:t>
            </w:r>
            <w:r>
              <w:rPr>
                <w:rFonts w:hint="default"/>
                <w:sz w:val="23"/>
                <w:szCs w:val="23"/>
              </w:rPr>
              <w:t>/SUCOAS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4.71 ± 0.22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28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SUCDi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4.71 ± 0.22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29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FUM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4.71 ± 0.22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30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MDH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2.01 ± 0.11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1F497D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</w:p>
        </w:tc>
        <w:tc>
          <w:tcPr>
            <w:tcW w:w="1357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31</w:t>
            </w:r>
          </w:p>
        </w:tc>
        <w:tc>
          <w:tcPr>
            <w:tcW w:w="1519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ICL/MALS</w:t>
            </w:r>
          </w:p>
        </w:tc>
        <w:tc>
          <w:tcPr>
            <w:tcW w:w="3393" w:type="dxa"/>
            <w:shd w:val="clear" w:color="auto" w:fill="8DB3E2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0.00 ± 0.00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restart"/>
            <w:shd w:val="clear" w:color="auto" w:fill="595959"/>
            <w:vAlign w:val="center"/>
          </w:tcPr>
          <w:p>
            <w:pPr>
              <w:jc w:val="center"/>
              <w:rPr>
                <w:rFonts w:eastAsia="Times New Roman"/>
                <w:b/>
                <w:color w:val="FFFFFF"/>
                <w:szCs w:val="24"/>
              </w:rPr>
            </w:pPr>
            <w:r>
              <w:rPr>
                <w:rFonts w:eastAsia="Times New Roman"/>
                <w:b/>
                <w:color w:val="FFFFFF"/>
                <w:szCs w:val="24"/>
              </w:rPr>
              <w:t>Anaplerosis / Gluconeogenesis</w:t>
            </w:r>
          </w:p>
        </w:tc>
        <w:tc>
          <w:tcPr>
            <w:tcW w:w="1357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32</w:t>
            </w:r>
          </w:p>
        </w:tc>
        <w:tc>
          <w:tcPr>
            <w:tcW w:w="1519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 w:val="23"/>
                <w:szCs w:val="23"/>
              </w:rPr>
              <w:t>OOADC</w:t>
            </w:r>
          </w:p>
        </w:tc>
        <w:tc>
          <w:tcPr>
            <w:tcW w:w="3393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4.44 ± 0.15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59595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357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33</w:t>
            </w:r>
          </w:p>
        </w:tc>
        <w:tc>
          <w:tcPr>
            <w:tcW w:w="1519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PPC</w:t>
            </w:r>
          </w:p>
        </w:tc>
        <w:tc>
          <w:tcPr>
            <w:tcW w:w="3393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0.15 ± 0.13</w:t>
            </w:r>
          </w:p>
        </w:tc>
      </w:tr>
      <w:tr>
        <w:tblPrEx>
          <w:tblBorders>
            <w:top w:val="single" w:color="FFFFFF" w:sz="12" w:space="0"/>
            <w:left w:val="single" w:color="FFFFFF" w:sz="12" w:space="0"/>
            <w:bottom w:val="single" w:color="FFFFFF" w:sz="12" w:space="0"/>
            <w:right w:val="single" w:color="FFFFFF" w:sz="12" w:space="0"/>
            <w:insideH w:val="single" w:color="FFFFFF" w:sz="12" w:space="0"/>
            <w:insideV w:val="single" w:color="FFFF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5" w:type="dxa"/>
            <w:vMerge w:val="continue"/>
            <w:shd w:val="clear" w:color="auto" w:fill="59595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357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34</w:t>
            </w:r>
          </w:p>
        </w:tc>
        <w:tc>
          <w:tcPr>
            <w:tcW w:w="1519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ME2</w:t>
            </w:r>
          </w:p>
        </w:tc>
        <w:tc>
          <w:tcPr>
            <w:tcW w:w="3393" w:type="dxa"/>
            <w:shd w:val="clear" w:color="auto" w:fill="D9D9D9"/>
            <w:vAlign w:val="center"/>
          </w:tcPr>
          <w:p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2.69 ± 0.18</w:t>
            </w:r>
          </w:p>
        </w:tc>
      </w:tr>
    </w:tbl>
    <w:p/>
    <w:p>
      <w:pPr>
        <w:ind w:left="270" w:hanging="270"/>
        <w:jc w:val="both"/>
        <w:rPr>
          <w:lang w:val="en-US"/>
        </w:rPr>
      </w:pPr>
      <w:r>
        <w:rPr>
          <w:i/>
          <w:vertAlign w:val="superscript"/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The functional classification and the codes of the biochemical reactions is the same as depicted in </w:t>
      </w:r>
      <w:r>
        <w:rPr>
          <w:b/>
          <w:lang w:val="en-US"/>
        </w:rPr>
        <w:t>Fig. 1</w:t>
      </w:r>
      <w:r>
        <w:rPr>
          <w:lang w:val="en-US"/>
        </w:rPr>
        <w:t xml:space="preserve"> in the main text</w:t>
      </w:r>
      <w:r>
        <w:rPr>
          <w:b/>
          <w:lang w:val="en-US"/>
        </w:rPr>
        <w:t xml:space="preserve"> </w:t>
      </w:r>
      <w:r>
        <w:rPr>
          <w:lang w:val="en-US"/>
        </w:rPr>
        <w:t>and</w:t>
      </w:r>
      <w:r>
        <w:rPr>
          <w:b/>
          <w:lang w:val="en-US"/>
        </w:rPr>
        <w:t xml:space="preserve"> Table S3 </w:t>
      </w:r>
      <w:r>
        <w:rPr>
          <w:lang w:val="en-US"/>
        </w:rPr>
        <w:t xml:space="preserve">in the Supplemental Data. The distribution of normalized values for each metabolic flux with respect to the specific rate of glucose consumption is shown in </w:t>
      </w:r>
      <w:r>
        <w:rPr>
          <w:b/>
          <w:lang w:val="en-US"/>
        </w:rPr>
        <w:t>Fig. 4</w:t>
      </w:r>
      <w:r>
        <w:rPr>
          <w:lang w:val="en-US"/>
        </w:rPr>
        <w:t xml:space="preserve"> in the main text.</w:t>
      </w:r>
    </w:p>
    <w:p>
      <w:pPr>
        <w:ind w:left="270" w:hanging="270"/>
        <w:jc w:val="both"/>
        <w:rPr>
          <w:lang w:val="en-US"/>
        </w:rPr>
      </w:pPr>
      <w:r>
        <w:rPr>
          <w:i/>
          <w:vertAlign w:val="superscript"/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SE, standard error.</w:t>
      </w:r>
    </w:p>
    <w:sectPr>
      <w:foot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hd w:val="clear" w:color="auto" w:fill="FFFFFF"/>
      <w:jc w:val="center"/>
      <w:rPr>
        <w:rFonts w:ascii="Arial Narrow" w:hAnsi="Arial Narrow"/>
      </w:rPr>
    </w:pPr>
    <w:r>
      <w:rPr>
        <w:rFonts w:ascii="Arial Narrow" w:hAnsi="Arial Narrow"/>
      </w:rPr>
      <w:t>_____________________________________________________________________________</w:t>
    </w:r>
  </w:p>
  <w:p>
    <w:pPr>
      <w:pStyle w:val="3"/>
      <w:shd w:val="clear" w:color="auto" w:fill="FFFFFF"/>
      <w:jc w:val="center"/>
      <w:rPr>
        <w:rFonts w:ascii="Arial Narrow" w:hAnsi="Arial Narrow"/>
      </w:rPr>
    </w:pPr>
    <w:r>
      <w:rPr>
        <w:rFonts w:ascii="Arial Narrow" w:hAnsi="Arial Narrow"/>
      </w:rPr>
      <w:t xml:space="preserve">Supplemental Data for Nikel </w:t>
    </w:r>
    <w:r>
      <w:rPr>
        <w:rFonts w:ascii="Arial Narrow" w:hAnsi="Arial Narrow"/>
        <w:i/>
      </w:rPr>
      <w:t>et al</w:t>
    </w:r>
    <w:r>
      <w:rPr>
        <w:rFonts w:ascii="Arial Narrow" w:hAnsi="Arial Narrow"/>
      </w:rPr>
      <w:t xml:space="preserve">. </w:t>
    </w:r>
    <w:r>
      <w:rPr>
        <w:rFonts w:ascii="Arial Narrow"/>
      </w:rPr>
      <w:t>‒</w:t>
    </w:r>
    <w:r>
      <w:rPr>
        <w:rFonts w:ascii="Arial Narrow" w:hAnsi="Arial Narrow"/>
      </w:rPr>
      <w:t xml:space="preserve"> S</w:t>
    </w:r>
    <w:r>
      <w:rPr>
        <w:rFonts w:ascii="Arial Narrow" w:hAnsi="Arial Narrow"/>
      </w:rPr>
      <w:fldChar w:fldCharType="begin"/>
    </w:r>
    <w:r>
      <w:rPr>
        <w:rFonts w:ascii="Arial Narrow" w:hAnsi="Arial Narrow"/>
      </w:rPr>
      <w:instrText xml:space="preserve"> PAGE   \* MERGEFORMAT </w:instrText>
    </w:r>
    <w:r>
      <w:rPr>
        <w:rFonts w:ascii="Arial Narrow" w:hAnsi="Arial Narrow"/>
      </w:rPr>
      <w:fldChar w:fldCharType="separate"/>
    </w:r>
    <w:r>
      <w:rPr>
        <w:rFonts w:ascii="Arial Narrow" w:hAnsi="Arial Narrow"/>
      </w:rPr>
      <w:t>1</w:t>
    </w:r>
    <w:r>
      <w:rPr>
        <w:rFonts w:ascii="Arial Narrow" w:hAnsi="Arial Narrow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TrackMoves/>
  <w:documentProtection w:enforcement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plied Environ Microbiol 2012&lt;/Style&gt;&lt;LeftDelim&gt;{&lt;/LeftDelim&gt;&lt;RightDelim&gt;}&lt;/RightDelim&gt;&lt;FontName&gt;Arial Narrow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2f25rwd5rwwze2fs65t99t52dt9r2z90xz&quot;&gt;Glycolysis&lt;record-ids&gt;&lt;item&gt;3&lt;/item&gt;&lt;item&gt;15&lt;/item&gt;&lt;item&gt;34&lt;/item&gt;&lt;item&gt;35&lt;/item&gt;&lt;item&gt;36&lt;/item&gt;&lt;item&gt;50&lt;/item&gt;&lt;item&gt;52&lt;/item&gt;&lt;item&gt;53&lt;/item&gt;&lt;item&gt;69&lt;/item&gt;&lt;item&gt;76&lt;/item&gt;&lt;/record-ids&gt;&lt;/item&gt;&lt;/Libraries&gt;"/>
  </w:docVars>
  <w:rsids>
    <w:rsidRoot w:val="00810B17"/>
    <w:rsid w:val="000131EA"/>
    <w:rsid w:val="00032873"/>
    <w:rsid w:val="0006052B"/>
    <w:rsid w:val="00070438"/>
    <w:rsid w:val="000F4D47"/>
    <w:rsid w:val="001060BC"/>
    <w:rsid w:val="00107525"/>
    <w:rsid w:val="00147138"/>
    <w:rsid w:val="00155020"/>
    <w:rsid w:val="001733B9"/>
    <w:rsid w:val="00176123"/>
    <w:rsid w:val="001A3217"/>
    <w:rsid w:val="001E092C"/>
    <w:rsid w:val="001E5B7E"/>
    <w:rsid w:val="002178C8"/>
    <w:rsid w:val="00264711"/>
    <w:rsid w:val="002730BE"/>
    <w:rsid w:val="00293E25"/>
    <w:rsid w:val="0029716B"/>
    <w:rsid w:val="002A3A68"/>
    <w:rsid w:val="002B7687"/>
    <w:rsid w:val="002D4E59"/>
    <w:rsid w:val="00317634"/>
    <w:rsid w:val="00382528"/>
    <w:rsid w:val="003A414B"/>
    <w:rsid w:val="004154E6"/>
    <w:rsid w:val="0043001E"/>
    <w:rsid w:val="00446561"/>
    <w:rsid w:val="004B16E1"/>
    <w:rsid w:val="004D034F"/>
    <w:rsid w:val="004D2800"/>
    <w:rsid w:val="00545FF3"/>
    <w:rsid w:val="00554422"/>
    <w:rsid w:val="0056358A"/>
    <w:rsid w:val="005A45EB"/>
    <w:rsid w:val="005F7BF5"/>
    <w:rsid w:val="00602B39"/>
    <w:rsid w:val="006216D0"/>
    <w:rsid w:val="00641830"/>
    <w:rsid w:val="00646E3F"/>
    <w:rsid w:val="006D08AA"/>
    <w:rsid w:val="0070797A"/>
    <w:rsid w:val="00732C28"/>
    <w:rsid w:val="007448A5"/>
    <w:rsid w:val="007675EB"/>
    <w:rsid w:val="007B2466"/>
    <w:rsid w:val="007F3472"/>
    <w:rsid w:val="00801413"/>
    <w:rsid w:val="008015C2"/>
    <w:rsid w:val="00810B17"/>
    <w:rsid w:val="008D0195"/>
    <w:rsid w:val="008E3946"/>
    <w:rsid w:val="00931E49"/>
    <w:rsid w:val="00972C0A"/>
    <w:rsid w:val="00991082"/>
    <w:rsid w:val="0099587F"/>
    <w:rsid w:val="00A15A37"/>
    <w:rsid w:val="00A41AFE"/>
    <w:rsid w:val="00B048EA"/>
    <w:rsid w:val="00B87882"/>
    <w:rsid w:val="00BF4F19"/>
    <w:rsid w:val="00C14ED1"/>
    <w:rsid w:val="00C64CFA"/>
    <w:rsid w:val="00C975A0"/>
    <w:rsid w:val="00D6097A"/>
    <w:rsid w:val="00D62168"/>
    <w:rsid w:val="00D94E8B"/>
    <w:rsid w:val="00DA48BB"/>
    <w:rsid w:val="00DB7B61"/>
    <w:rsid w:val="00DD3F9A"/>
    <w:rsid w:val="00DF040E"/>
    <w:rsid w:val="00E0229F"/>
    <w:rsid w:val="00E0426E"/>
    <w:rsid w:val="00E118DB"/>
    <w:rsid w:val="00E65669"/>
    <w:rsid w:val="00E70DFC"/>
    <w:rsid w:val="00EC617E"/>
    <w:rsid w:val="00EF05DB"/>
    <w:rsid w:val="00F04774"/>
    <w:rsid w:val="00F40A81"/>
    <w:rsid w:val="00F55430"/>
    <w:rsid w:val="00F65713"/>
    <w:rsid w:val="00F76535"/>
    <w:rsid w:val="00FA3C1C"/>
    <w:rsid w:val="00FB68A4"/>
    <w:rsid w:val="00FC3EF1"/>
    <w:rsid w:val="00FF5E56"/>
    <w:rsid w:val="7DF88809"/>
    <w:rsid w:val="EFCF4440"/>
    <w:rsid w:val="F7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 Narrow" w:hAnsi="Arial Narrow" w:eastAsia="Calibri" w:cs="Times New Roman"/>
      <w:sz w:val="24"/>
      <w:szCs w:val="22"/>
      <w:lang w:val="es-E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jc w:val="both"/>
    </w:pPr>
    <w:rPr>
      <w:rFonts w:ascii="Times New Roman" w:hAnsi="Times New Roman"/>
      <w:lang w:val="en-US"/>
    </w:r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jc w:val="both"/>
    </w:pPr>
    <w:rPr>
      <w:rFonts w:ascii="Times New Roman" w:hAnsi="Times New Roman"/>
      <w:lang w:val="en-US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exto de globo Car"/>
    <w:basedOn w:val="5"/>
    <w:link w:val="2"/>
    <w:semiHidden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9">
    <w:name w:val="Encabezado Car"/>
    <w:basedOn w:val="5"/>
    <w:link w:val="4"/>
    <w:semiHidden/>
    <w:uiPriority w:val="99"/>
    <w:rPr>
      <w:rFonts w:ascii="Times New Roman" w:hAnsi="Times New Roman"/>
      <w:sz w:val="24"/>
      <w:szCs w:val="22"/>
    </w:rPr>
  </w:style>
  <w:style w:type="character" w:customStyle="1" w:styleId="10">
    <w:name w:val="Pie de página Car"/>
    <w:basedOn w:val="5"/>
    <w:link w:val="3"/>
    <w:uiPriority w:val="99"/>
    <w:rPr>
      <w:rFonts w:ascii="Times New Roman" w:hAnsi="Times New Roman"/>
      <w:sz w:val="24"/>
      <w:szCs w:val="22"/>
    </w:rPr>
  </w:style>
  <w:style w:type="paragraph" w:customStyle="1" w:styleId="11">
    <w:name w:val="EndNote Bibliography Title"/>
    <w:basedOn w:val="1"/>
    <w:link w:val="12"/>
    <w:uiPriority w:val="0"/>
    <w:pPr>
      <w:jc w:val="center"/>
    </w:pPr>
    <w:rPr>
      <w:lang w:val="en-US"/>
    </w:rPr>
  </w:style>
  <w:style w:type="character" w:customStyle="1" w:styleId="12">
    <w:name w:val="EndNote Bibliography Title Char"/>
    <w:basedOn w:val="5"/>
    <w:link w:val="11"/>
    <w:uiPriority w:val="0"/>
    <w:rPr>
      <w:rFonts w:ascii="Arial Narrow" w:hAnsi="Arial Narrow"/>
      <w:sz w:val="24"/>
      <w:szCs w:val="22"/>
    </w:rPr>
  </w:style>
  <w:style w:type="paragraph" w:customStyle="1" w:styleId="13">
    <w:name w:val="EndNote Bibliography"/>
    <w:basedOn w:val="1"/>
    <w:link w:val="14"/>
    <w:uiPriority w:val="0"/>
    <w:rPr>
      <w:lang w:val="en-US"/>
    </w:rPr>
  </w:style>
  <w:style w:type="character" w:customStyle="1" w:styleId="14">
    <w:name w:val="EndNote Bibliography Char"/>
    <w:basedOn w:val="5"/>
    <w:link w:val="13"/>
    <w:uiPriority w:val="0"/>
    <w:rPr>
      <w:rFonts w:ascii="Arial Narrow" w:hAnsi="Arial Narrow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194</Words>
  <Characters>1072</Characters>
  <Lines>8</Lines>
  <Paragraphs>2</Paragraphs>
  <TotalTime>30</TotalTime>
  <ScaleCrop>false</ScaleCrop>
  <LinksUpToDate>false</LinksUpToDate>
  <CharactersWithSpaces>1264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2015-07-30T13:30:00Z</dcterms:created>
  <dc:creator>Pablo</dc:creator>
  <cp:lastModifiedBy>mrama</cp:lastModifiedBy>
  <dcterms:modified xsi:type="dcterms:W3CDTF">2019-10-17T12:01:04Z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