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  <w:bookmarkStart w:id="0" w:name="_GoBack"/>
          <w:bookmarkEnd w:id="0"/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registraciju. 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šifre)</w:t>
      </w:r>
      <w:r>
        <w:t xml:space="preserve"> moraju biti uneta od strane korisnika</w:t>
      </w:r>
      <w:r>
        <w:rPr>
          <w:rFonts w:hint="default"/>
          <w:lang w:val="sr-Latn-RS"/>
        </w:rPr>
        <w:t>. Korisnik mora da izabere koji status želi da ima (običan, Premium, moderator) iz opadajuće liste.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>Ispisuje se poruka da mora da promeni username</w:t>
      </w:r>
      <w:r>
        <w:rPr>
          <w:rFonts w:hint="default"/>
          <w:lang w:val="sr-Latn-RS"/>
        </w:rPr>
        <w:t xml:space="preserve"> ili e-mail</w:t>
      </w:r>
      <w:r>
        <w:t xml:space="preserve"> jer već postoji takav isti u bazi.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prekratka.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4851FB9"/>
    <w:rsid w:val="271A2751"/>
    <w:rsid w:val="2BF95C41"/>
    <w:rsid w:val="2FBB0AB8"/>
    <w:rsid w:val="3E2903CA"/>
    <w:rsid w:val="53CD7625"/>
    <w:rsid w:val="5BCB4CC6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6</TotalTime>
  <ScaleCrop>false</ScaleCrop>
  <LinksUpToDate>false</LinksUpToDate>
  <CharactersWithSpaces>2124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