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37"/>
        <w:gridCol w:w="2098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Cohort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(N=143054)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(N=71774)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(N=71280)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 ± 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 ± 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± 20.1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(23.5%)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(69.5%)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(45.9%)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(16.5%)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(0.0%)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(12.5%)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(13.6%)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(76.9%)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4,338 (6.1%)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(3.5%)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110,974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54,739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56,235 (78.9%)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(21.1%)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113,421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57,972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55,449 (77.8%)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(22.2%)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± 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± 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± 0.380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141,982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70,441 (98.8%)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57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140,196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70,510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69,686 (97.8%)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135,114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69,032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66,082 (92.7%)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142,326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71,632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70,694 (99.2%)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71,465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69,297 (97.2%)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5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133,666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70,291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63,375 (88.9%)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(11.1%)</w:t>
            </w:r>
          </w:p>
        </w:tc>
      </w:tr>
      <w:tr>
        <w:trPr>
          <w:trHeight w:val="62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125,638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67,545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58,093 (81.5%)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(18.5%)</w:t>
            </w:r>
          </w:p>
        </w:tc>
      </w:tr>
      <w:tr>
        <w:trPr>
          <w:trHeight w:val="57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133,030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70,399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62,631 (87.9%)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(12.1%)</w:t>
            </w:r>
          </w:p>
        </w:tc>
      </w:tr>
      <w:tr>
        <w:trPr>
          <w:trHeight w:val="62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135,285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67,186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68,099 (95.5%)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57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136,988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66,919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70,069 (98.3%)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117,364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61,104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56,260 (78.9%)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(21.1%)</w:t>
            </w:r>
          </w:p>
        </w:tc>
      </w:tr>
      <w:tr>
        <w:trPr>
          <w:trHeight w:val="62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± 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±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± 3.89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111,633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58,573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53,060 (74.4%)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(25.6%)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131,391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65,659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65,732 (92.2%)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(24.2%)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(28.4%)</w:t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(22.7%)</w:t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(12.1%)</w:t>
            </w:r>
          </w:p>
        </w:tc>
      </w:tr>
      <w:tr>
        <w:trPr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(12.6%)</w:t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2022-12-04T01:44:04Z</dcterms:modified>
  <cp:category/>
</cp:coreProperties>
</file>