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037"/>
        <w:gridCol w:w="2098"/>
        <w:gridCol w:w="2123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Cohort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(N=143054)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(N=71774)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(N=71280)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 ± 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 ± 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± 20.1</w:t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(23.5%)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(69.5%)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(54.1%)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(45.9%)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(16.5%)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(0.0%)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(62.9%)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(12.5%)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(13.6%)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(69.5%)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(76.9%)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11,865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4,338 (6.1%)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(3.5%)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110,974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54,739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56,235 (78.9%)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(21.1%)</w:t>
            </w:r>
          </w:p>
        </w:tc>
      </w:tr>
      <w:tr>
        <w:trPr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113,421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57,972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55,449 (77.8%)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(22.2%)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± 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± 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± 0.380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141,982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71,541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70,441 (98.8%)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57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140,196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70,510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69,686 (97.8%)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135,114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69,032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66,082 (92.7%)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142,326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71,632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70,694 (99.2%)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140,762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71,465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69,297 (97.2%)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5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133,666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70,291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63,375 (88.9%)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(11.1%)</w:t>
            </w:r>
          </w:p>
        </w:tc>
      </w:tr>
      <w:tr>
        <w:trPr>
          <w:trHeight w:val="62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125,638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67,545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58,093 (81.5%)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(18.5%)</w:t>
            </w:r>
          </w:p>
        </w:tc>
      </w:tr>
      <w:tr>
        <w:trPr>
          <w:trHeight w:val="57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133,030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70,399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62,631 (87.9%)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(12.1%)</w:t>
            </w:r>
          </w:p>
        </w:tc>
      </w:tr>
      <w:tr>
        <w:trPr>
          <w:trHeight w:val="62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135,285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67,186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68,099 (95.5%)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57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136,988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66,919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70,069 (98.3%)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117,364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61,104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56,260 (78.9%)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(21.1%)</w:t>
            </w:r>
          </w:p>
        </w:tc>
      </w:tr>
      <w:tr>
        <w:trPr>
          <w:trHeight w:val="62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± 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± 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 ± 3.89</w:t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111,633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58,573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53,060 (74.4%)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(25.6%)</w:t>
            </w:r>
          </w:p>
        </w:tc>
      </w:tr>
      <w:tr>
        <w:trPr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131,391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65,659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65,732 (92.2%)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(0.0%)</w:t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(24.2%)</w:t>
            </w:r>
          </w:p>
        </w:tc>
      </w:tr>
      <w:tr>
        <w:trPr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(28.4%)</w:t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(22.7%)</w:t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(12.1%)</w:t>
            </w:r>
          </w:p>
        </w:tc>
      </w:tr>
      <w:tr>
        <w:trPr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(12.6%)</w:t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2022-11-27T21:42:45Z</dcterms:modified>
  <cp:category/>
</cp:coreProperties>
</file>