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Zava S.p.A. - Business case per proposta di progetto IT - Modello PMO-BC v2</w:t>
      </w:r>
    </w:p>
    <w:p>
      <w:pPr>
        <w:pStyle w:val="Heading1"/>
      </w:pPr>
      <w:r>
        <w:t>Nuova intranet e hub dei dipendenti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Proponente</w:t>
            </w:r>
          </w:p>
        </w:tc>
        <w:tc>
          <w:tcPr>
            <w:tcW w:type="dxa" w:w="4320"/>
          </w:tcPr>
          <w:p>
            <w:r>
              <w:t>Sara Greco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Ruolo</w:t>
            </w:r>
          </w:p>
        </w:tc>
        <w:tc>
          <w:tcPr>
            <w:tcW w:type="dxa" w:w="4320"/>
          </w:tcPr>
          <w:p>
            <w:r>
              <w:t>Responsabile Comunicazione Interna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Funzione aziendale</w:t>
            </w:r>
          </w:p>
        </w:tc>
        <w:tc>
          <w:tcPr>
            <w:tcW w:type="dxa" w:w="4320"/>
          </w:tcPr>
          <w:p>
            <w:r>
              <w:t>Risorse Umane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sara.greco@zava-demo.example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Sponsor interno</w:t>
            </w:r>
          </w:p>
        </w:tc>
        <w:tc>
          <w:tcPr>
            <w:tcW w:type="dxa" w:w="4320"/>
          </w:tcPr>
          <w:p>
            <w:r>
              <w:t>Francesca Rinaldi, Direttrice Risorse Umane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di presentazione</w:t>
            </w:r>
          </w:p>
        </w:tc>
        <w:tc>
          <w:tcPr>
            <w:tcW w:type="dxa" w:w="4320"/>
          </w:tcPr>
          <w:p>
            <w:r>
              <w:t>09/10/2026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Programma di riferimento indicato</w:t>
            </w:r>
          </w:p>
        </w:tc>
        <w:tc>
          <w:tcPr>
            <w:tcW w:type="dxa" w:w="4320"/>
          </w:tcPr>
          <w:p>
            <w:r>
              <w:t>PG-400 Modern Workplace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Budget richiesto</w:t>
            </w:r>
          </w:p>
        </w:tc>
        <w:tc>
          <w:tcPr>
            <w:tcW w:type="dxa" w:w="4320"/>
          </w:tcPr>
          <w:p>
            <w:r>
              <w:t>120.000 euro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Durata stimata</w:t>
            </w:r>
          </w:p>
        </w:tc>
        <w:tc>
          <w:tcPr>
            <w:tcW w:type="dxa" w:w="4320"/>
          </w:tcPr>
          <w:p>
            <w:r>
              <w:t>6 mesi</w:t>
            </w:r>
          </w:p>
        </w:tc>
      </w:tr>
    </w:tbl>
    <w:p>
      <w:pPr>
        <w:pStyle w:val="Heading2"/>
      </w:pPr>
      <w:r>
        <w:t>1. Contesto e problema</w:t>
      </w:r>
    </w:p>
    <w:p>
      <w:r>
        <w:t>L'intranet attuale è un prodotto di terze parti del 2017, non integrato con Microsoft 365. Nella survey interna di novembre 2025 il 62% dei 420 dipendenti dichiara di avere difficoltà a trovare procedure, moduli e comunicazioni aziendali.</w:t>
      </w:r>
    </w:p>
    <w:p>
      <w:pPr>
        <w:pStyle w:val="Heading2"/>
      </w:pPr>
      <w:r>
        <w:t>2. Soluzione proposta</w:t>
      </w:r>
    </w:p>
    <w:p>
      <w:r>
        <w:t>Realizzare una nuova intranet su SharePoint Online con un hub per le notizie, le procedure e i servizi ai dipendenti, integrata con Microsoft Teams tramite Viva Connections, e dismettere l'intranet attuale.</w:t>
      </w:r>
    </w:p>
    <w:p>
      <w:pPr>
        <w:pStyle w:val="Heading2"/>
      </w:pPr>
      <w:r>
        <w:t>3. Allineamento strategico</w:t>
      </w:r>
    </w:p>
    <w:p>
      <w:r>
        <w:t>La proposta contribuisce all'obiettivo OS5 del Piano Strategico IT 2026-2028 (esperienza digitale dei dipendenti) e al riuso delle licenze Microsoft 365 già disponibili (obiettivo OS4).</w:t>
      </w:r>
    </w:p>
    <w:p>
      <w:pPr>
        <w:pStyle w:val="Heading2"/>
      </w:pPr>
      <w:r>
        <w:t>4. Benefici attesi e KPI</w:t>
      </w:r>
    </w:p>
    <w:p>
      <w:r>
        <w:t>Dismissione dell'intranet attuale con un risparmio di 35.000 euro all'anno di licenze e manutenzione.</w:t>
      </w:r>
    </w:p>
    <w:p>
      <w:r>
        <w:t>Obiettivo: ridurre dal 62% al 25% la quota di dipendenti che dichiara difficoltà a trovare le informazioni, misurata con la survey di novembre 2027.</w:t>
      </w:r>
    </w:p>
    <w:p>
      <w:r>
        <w:t>Riduzione delle richieste ripetitive alle Risorse Umane, oggi circa 300 al mese, stimata del 30%.</w:t>
      </w:r>
    </w:p>
    <w:p>
      <w:pPr>
        <w:pStyle w:val="Heading2"/>
      </w:pPr>
      <w:r>
        <w:t>5. Adozione e gestione del cambiamento</w:t>
      </w:r>
    </w:p>
    <w:p>
      <w:r>
        <w:t>Rete di 40 champion distribuiti nelle quattro sedi, piano di comunicazione in tre fasi, sessioni di formazione di 45 minuti per ogni reparto e guida rapida per i redattori.</w:t>
      </w:r>
    </w:p>
    <w:p>
      <w:pPr>
        <w:pStyle w:val="Heading2"/>
      </w:pPr>
      <w:r>
        <w:t>6. Sicurezza e governance</w:t>
      </w:r>
    </w:p>
    <w:p>
      <w:r>
        <w:t>Modello di governance dei contenuti con redattori per area, revisione semestrale dei contenuti scaduti, permessi gestiti tramite gruppi Microsoft 365 e conformità alle policy di etichettatura dei documenti.</w:t>
      </w:r>
    </w:p>
    <w:p>
      <w:pPr>
        <w:pStyle w:val="Heading2"/>
      </w:pPr>
      <w:r>
        <w:t>7. Costi, pianificazione e rischi</w:t>
      </w:r>
    </w:p>
    <w:p>
      <w:r>
        <w:t>Costo una tantum: 120.000 euro (progettazione, migrazione dei contenuti, formazione). Nessun costo ricorrente aggiuntivo grazie alle licenze Microsoft 365 esistenti.</w:t>
      </w:r>
    </w:p>
    <w:p>
      <w:r>
        <w:t>Pianificazione: progettazione (mesi 1-2), migrazione dei contenuti (mesi 3-4), lancio e formazione (mesi 5-6).</w:t>
      </w:r>
    </w:p>
    <w:p>
      <w:r>
        <w:t>Rischio principale: qualità dei contenuti migrati. Mitigazione: revisione dei contenuti da parte dei redattori prima della migrazione.</w:t>
      </w:r>
    </w:p>
    <w:p>
      <w:r>
        <w:rPr>
          <w:i/>
        </w:rPr>
        <w:t>Documento fittizio creato per i laboratori Copilot Studio. Nomi, persone e importi sono inventati.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