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Linee guida per la presentazione dei business case IT</w:t>
      </w:r>
    </w:p>
    <w:p>
      <w:r>
        <w:t>Ufficio Demand e PMO IT - Zava S.p.A. - Versione 3.1 del 01/09/2026</w:t>
      </w:r>
    </w:p>
    <w:p>
      <w:pPr>
        <w:pStyle w:val="Heading2"/>
      </w:pPr>
      <w:r>
        <w:t>1. Scopo del documento</w:t>
      </w:r>
    </w:p>
    <w:p>
      <w:r>
        <w:t>Il documento descrive come le funzioni aziendali presentano una proposta di progetto IT, come viene valutata e come si arriva alla decisione del Comitato di Valutazione Investimenti IT. Si applica a tutte le proposte con un costo una tantum superiore a 25.000 euro.</w:t>
      </w:r>
    </w:p>
    <w:p>
      <w:pPr>
        <w:pStyle w:val="Heading2"/>
      </w:pPr>
      <w:r>
        <w:t>2. Chi può presentare una proposta</w:t>
      </w:r>
    </w:p>
    <w:p>
      <w:r>
        <w:t>Può presentare una proposta il responsabile di una funzione aziendale (il proponente). Ogni proposta deve indicare uno sponsor interno di livello dirigenziale, che ne risponde davanti al Comitato. Proponente e sponsor devono essere dipendenti di Zava S.p.A.: il PMO non accetta proposte presentate direttamente da fornitori o consulenti esterni.</w:t>
      </w:r>
    </w:p>
    <w:p>
      <w:pPr>
        <w:pStyle w:val="Heading2"/>
      </w:pPr>
      <w:r>
        <w:t>3. Come presentare il business case</w:t>
      </w:r>
    </w:p>
    <w:p>
      <w:pPr>
        <w:pStyle w:val="ListBullet"/>
      </w:pPr>
      <w:r>
        <w:t>In chat, allegando il documento all'Agente Demand IT disponibile in Microsoft Teams e in Microsoft 365 Copilot.</w:t>
      </w:r>
    </w:p>
    <w:p>
      <w:pPr>
        <w:pStyle w:val="ListBullet"/>
      </w:pPr>
      <w:r>
        <w:t>Per email alla casella del PMO, con un oggetto che inizia con "Proposta progetto" seguito dal titolo, ad esempio "Proposta progetto - Portale fornitori".</w:t>
      </w:r>
    </w:p>
    <w:p>
      <w:r>
        <w:t>Formati accettati: PDF con testo selezionabile oppure Word (.docx). Non sono accettati documenti scansionati, fotografie o immagini, perché il contenuto deve poter essere letto come testo. Un file contiene un solo business case. Dimensione massima: 15 MB.</w:t>
      </w:r>
    </w:p>
    <w:p>
      <w:r>
        <w:t>La proposta presentata in chat o per email viene registrata nel PMO Demand Hub con un codice nel formato PP-#####. Il proponente viene registrato una sola volta e riconosciuto tramite l'indirizzo email aziendale (codice SP-####).</w:t>
      </w:r>
    </w:p>
    <w:p>
      <w:pPr>
        <w:pStyle w:val="Heading2"/>
      </w:pPr>
      <w:r>
        <w:t>4. Struttura obbligatoria del business case</w:t>
      </w:r>
    </w:p>
    <w:p>
      <w:pPr>
        <w:pStyle w:val="ListBullet"/>
      </w:pPr>
      <w:r>
        <w:t>Dati del proponente: nome, ruolo, funzione, email, sponsor interno.</w:t>
      </w:r>
    </w:p>
    <w:p>
      <w:pPr>
        <w:pStyle w:val="ListBullet"/>
      </w:pPr>
      <w:r>
        <w:t>Programma di riferimento (codice PG-###) e motivazione della scelta.</w:t>
      </w:r>
    </w:p>
    <w:p>
      <w:pPr>
        <w:pStyle w:val="ListBullet"/>
      </w:pPr>
      <w:r>
        <w:t>Contesto e problema, con dati sulla situazione attuale.</w:t>
      </w:r>
    </w:p>
    <w:p>
      <w:pPr>
        <w:pStyle w:val="ListBullet"/>
      </w:pPr>
      <w:r>
        <w:t>Soluzione proposta e piattaforme coinvolte.</w:t>
      </w:r>
    </w:p>
    <w:p>
      <w:pPr>
        <w:pStyle w:val="ListBullet"/>
      </w:pPr>
      <w:r>
        <w:t>Allineamento con il Piano Strategico IT 2026-2028 (obiettivi OS1-OS5).</w:t>
      </w:r>
    </w:p>
    <w:p>
      <w:pPr>
        <w:pStyle w:val="ListBullet"/>
      </w:pPr>
      <w:r>
        <w:t>Benefici attesi con baseline, metodo di calcolo e KPI.</w:t>
      </w:r>
    </w:p>
    <w:p>
      <w:pPr>
        <w:pStyle w:val="ListBullet"/>
      </w:pPr>
      <w:r>
        <w:t>Costi una tantum e ricorrenti, durata e pianificazione per fasi.</w:t>
      </w:r>
    </w:p>
    <w:p>
      <w:pPr>
        <w:pStyle w:val="ListBullet"/>
      </w:pPr>
      <w:r>
        <w:t>Rischi, dipendenze e mitigazioni.</w:t>
      </w:r>
    </w:p>
    <w:p>
      <w:pPr>
        <w:pStyle w:val="Heading2"/>
      </w:pPr>
      <w:r>
        <w:t>5. Programmi di investimento</w:t>
      </w:r>
    </w:p>
    <w:p>
      <w:r>
        <w:t>Ogni proposta concorre su un solo programma. Codici, budget disponibile e criteri pesati aggiornati sono pubblicati nel PMO Demand Hub, che è l'unica fonte ufficiale: in caso di differenza tra questo documento e il PMO Demand Hub prevale il PMO Demand Hub.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Programma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Ambito</w:t>
            </w:r>
          </w:p>
        </w:tc>
      </w:tr>
      <w:tr>
        <w:tc>
          <w:tcPr>
            <w:tcW w:type="dxa" w:w="2880"/>
          </w:tcPr>
          <w:p>
            <w:r>
              <w:t>PG-100</w:t>
            </w:r>
          </w:p>
        </w:tc>
        <w:tc>
          <w:tcPr>
            <w:tcW w:type="dxa" w:w="2880"/>
          </w:tcPr>
          <w:p>
            <w:r>
              <w:t>Trasformazione Digitale dei Processi</w:t>
            </w:r>
          </w:p>
        </w:tc>
        <w:tc>
          <w:tcPr>
            <w:tcW w:type="dxa" w:w="2880"/>
          </w:tcPr>
          <w:p>
            <w:r>
              <w:t>Digitalizzazione e automazione dei processi delle funzioni</w:t>
            </w:r>
          </w:p>
        </w:tc>
      </w:tr>
      <w:tr>
        <w:tc>
          <w:tcPr>
            <w:tcW w:type="dxa" w:w="2880"/>
          </w:tcPr>
          <w:p>
            <w:r>
              <w:t>PG-200</w:t>
            </w:r>
          </w:p>
        </w:tc>
        <w:tc>
          <w:tcPr>
            <w:tcW w:type="dxa" w:w="2880"/>
          </w:tcPr>
          <w:p>
            <w:r>
              <w:t>Sicurezza e Conformità</w:t>
            </w:r>
          </w:p>
        </w:tc>
        <w:tc>
          <w:tcPr>
            <w:tcW w:type="dxa" w:w="2880"/>
          </w:tcPr>
          <w:p>
            <w:r>
              <w:t>Riduzione del rischio cyber e conformità NIS2 e GDPR</w:t>
            </w:r>
          </w:p>
        </w:tc>
      </w:tr>
      <w:tr>
        <w:tc>
          <w:tcPr>
            <w:tcW w:type="dxa" w:w="2880"/>
          </w:tcPr>
          <w:p>
            <w:r>
              <w:t>PG-300</w:t>
            </w:r>
          </w:p>
        </w:tc>
        <w:tc>
          <w:tcPr>
            <w:tcW w:type="dxa" w:w="2880"/>
          </w:tcPr>
          <w:p>
            <w:r>
              <w:t>Dati e Intelligenza Artificiale</w:t>
            </w:r>
          </w:p>
        </w:tc>
        <w:tc>
          <w:tcPr>
            <w:tcW w:type="dxa" w:w="2880"/>
          </w:tcPr>
          <w:p>
            <w:r>
              <w:t>Casi d'uso su dati e IA con valore misurabile</w:t>
            </w:r>
          </w:p>
        </w:tc>
      </w:tr>
      <w:tr>
        <w:tc>
          <w:tcPr>
            <w:tcW w:type="dxa" w:w="2880"/>
          </w:tcPr>
          <w:p>
            <w:r>
              <w:t>PG-400</w:t>
            </w:r>
          </w:p>
        </w:tc>
        <w:tc>
          <w:tcPr>
            <w:tcW w:type="dxa" w:w="2880"/>
          </w:tcPr>
          <w:p>
            <w:r>
              <w:t>Modern Workplace</w:t>
            </w:r>
          </w:p>
        </w:tc>
        <w:tc>
          <w:tcPr>
            <w:tcW w:type="dxa" w:w="2880"/>
          </w:tcPr>
          <w:p>
            <w:r>
              <w:t>Esperienza digitale e collaborazione dei dipendenti</w:t>
            </w:r>
          </w:p>
        </w:tc>
      </w:tr>
      <w:tr>
        <w:tc>
          <w:tcPr>
            <w:tcW w:type="dxa" w:w="2880"/>
          </w:tcPr>
          <w:p>
            <w:r>
              <w:t>PG-500</w:t>
            </w:r>
          </w:p>
        </w:tc>
        <w:tc>
          <w:tcPr>
            <w:tcW w:type="dxa" w:w="2880"/>
          </w:tcPr>
          <w:p>
            <w:r>
              <w:t>Infrastruttura e Cloud</w:t>
            </w:r>
          </w:p>
        </w:tc>
        <w:tc>
          <w:tcPr>
            <w:tcW w:type="dxa" w:w="2880"/>
          </w:tcPr>
          <w:p>
            <w:r>
              <w:t>Modernizzazione dell'infrastruttura e migrazioni cloud</w:t>
            </w:r>
          </w:p>
        </w:tc>
      </w:tr>
    </w:tbl>
    <w:p/>
    <w:p>
      <w:r>
        <w:t>Se il proponente non indica un programma, o se la proposta può ricadere su due programmi, il PMO chiede una conferma al proponente prima della valutazione. Il programma non viene mai assegnato in modo automatico senza conferma.</w:t>
      </w:r>
    </w:p>
    <w:p>
      <w:pPr>
        <w:pStyle w:val="Heading2"/>
      </w:pPr>
      <w:r>
        <w:t>6. Metodo di valutazione</w:t>
      </w:r>
    </w:p>
    <w:p>
      <w:r>
        <w:t>Ogni programma ha 5 criteri con un peso; la somma dei pesi è 100. Per ogni criterio il valutatore assegna un livello di evidenza sulla base del testo del business case, riportando una breve evidenza tratta dal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Livello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Significato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Fattore</w:t>
            </w:r>
          </w:p>
        </w:tc>
      </w:tr>
      <w:tr>
        <w:tc>
          <w:tcPr>
            <w:tcW w:type="dxa" w:w="2880"/>
          </w:tcPr>
          <w:p>
            <w:r>
              <w:t>Forte</w:t>
            </w:r>
          </w:p>
        </w:tc>
        <w:tc>
          <w:tcPr>
            <w:tcW w:type="dxa" w:w="2880"/>
          </w:tcPr>
          <w:p>
            <w:r>
              <w:t>Evidenza chiara, diretta e quantificata</w:t>
            </w:r>
          </w:p>
        </w:tc>
        <w:tc>
          <w:tcPr>
            <w:tcW w:type="dxa" w:w="2880"/>
          </w:tcPr>
          <w:p>
            <w:r>
              <w:t>1,0</w:t>
            </w:r>
          </w:p>
        </w:tc>
      </w:tr>
      <w:tr>
        <w:tc>
          <w:tcPr>
            <w:tcW w:type="dxa" w:w="2880"/>
          </w:tcPr>
          <w:p>
            <w:r>
              <w:t>Moderata</w:t>
            </w:r>
          </w:p>
        </w:tc>
        <w:tc>
          <w:tcPr>
            <w:tcW w:type="dxa" w:w="2880"/>
          </w:tcPr>
          <w:p>
            <w:r>
              <w:t>Evidenza presente ma parziale o non quantificata</w:t>
            </w:r>
          </w:p>
        </w:tc>
        <w:tc>
          <w:tcPr>
            <w:tcW w:type="dxa" w:w="2880"/>
          </w:tcPr>
          <w:p>
            <w:r>
              <w:t>0,6</w:t>
            </w:r>
          </w:p>
        </w:tc>
      </w:tr>
      <w:tr>
        <w:tc>
          <w:tcPr>
            <w:tcW w:type="dxa" w:w="2880"/>
          </w:tcPr>
          <w:p>
            <w:r>
              <w:t>Debole</w:t>
            </w:r>
          </w:p>
        </w:tc>
        <w:tc>
          <w:tcPr>
            <w:tcW w:type="dxa" w:w="2880"/>
          </w:tcPr>
          <w:p>
            <w:r>
              <w:t>Evidenza marginale o solo dichiarata</w:t>
            </w:r>
          </w:p>
        </w:tc>
        <w:tc>
          <w:tcPr>
            <w:tcW w:type="dxa" w:w="2880"/>
          </w:tcPr>
          <w:p>
            <w:r>
              <w:t>0,3</w:t>
            </w:r>
          </w:p>
        </w:tc>
      </w:tr>
      <w:tr>
        <w:tc>
          <w:tcPr>
            <w:tcW w:type="dxa" w:w="2880"/>
          </w:tcPr>
          <w:p>
            <w:r>
              <w:t>Assente</w:t>
            </w:r>
          </w:p>
        </w:tc>
        <w:tc>
          <w:tcPr>
            <w:tcW w:type="dxa" w:w="2880"/>
          </w:tcPr>
          <w:p>
            <w:r>
              <w:t>Nessuna evidenza nel documento</w:t>
            </w:r>
          </w:p>
        </w:tc>
        <w:tc>
          <w:tcPr>
            <w:tcW w:type="dxa" w:w="2880"/>
          </w:tcPr>
          <w:p>
            <w:r>
              <w:t>0,0</w:t>
            </w:r>
          </w:p>
        </w:tc>
      </w:tr>
    </w:tbl>
    <w:p/>
    <w:p>
      <w:r>
        <w:t>Punti del criterio = fattore x peso. Punteggio della proposta = somma dei punti dei 5 criteri (da 0 a 100). Indicazione per il Comitato: Raccomandata con punteggio pari o superiore a 75; Da approfondire tra 55 e 74,9; Non raccomandata sotto 55.</w:t>
      </w:r>
    </w:p>
    <w:p>
      <w:r>
        <w:t>Regola di budget: se il budget richiesto supera il budget disponibile del programma, l'indicazione non può essere migliore di Da approfondire, indipendentemente dal punteggio, e il rischio va segnalato nel dossier.</w:t>
      </w:r>
    </w:p>
    <w:p>
      <w:r>
        <w:t>La valutazione è una proposta preparatoria. La decisione di approvare, rinviare o respingere spetta solo al Comitato di Valutazione Investimenti IT.</w:t>
      </w:r>
    </w:p>
    <w:p>
      <w:pPr>
        <w:pStyle w:val="Heading2"/>
      </w:pPr>
      <w:r>
        <w:t>7. Revisione preliminare e Comitato</w:t>
      </w:r>
    </w:p>
    <w:p>
      <w:r>
        <w:t>Il Comitato è composto dal Chief Information Officer, da un delegato del Chief Financial Officer, dal Responsabile PMO e dall'Enterprise Architect. Si riunisce il secondo giovedì di ogni mese.</w:t>
      </w:r>
    </w:p>
    <w:p>
      <w:r>
        <w:t>Per ogni proposta valutata il PMO organizza una sessione di revisione preliminare di 30 minuti con lo sponsor interno e l'architetto di riferimento del programma, almeno 5 giorni lavorativi prima del Comitato. La sessione si svolge in Microsoft Teams e coinvolge solo persone interne di Zava S.p.A.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Programma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Architetto di riferimento</w:t>
            </w:r>
          </w:p>
        </w:tc>
      </w:tr>
      <w:tr>
        <w:tc>
          <w:tcPr>
            <w:tcW w:type="dxa" w:w="4320"/>
          </w:tcPr>
          <w:p>
            <w:r>
              <w:t>PG-100 e PG-400</w:t>
            </w:r>
          </w:p>
        </w:tc>
        <w:tc>
          <w:tcPr>
            <w:tcW w:type="dxa" w:w="4320"/>
          </w:tcPr>
          <w:p>
            <w:r>
              <w:t>Enterprise Architect applicazioni</w:t>
            </w:r>
          </w:p>
        </w:tc>
      </w:tr>
      <w:tr>
        <w:tc>
          <w:tcPr>
            <w:tcW w:type="dxa" w:w="4320"/>
          </w:tcPr>
          <w:p>
            <w:r>
              <w:t>PG-200</w:t>
            </w:r>
          </w:p>
        </w:tc>
        <w:tc>
          <w:tcPr>
            <w:tcW w:type="dxa" w:w="4320"/>
          </w:tcPr>
          <w:p>
            <w:r>
              <w:t>Security Architect</w:t>
            </w:r>
          </w:p>
        </w:tc>
      </w:tr>
      <w:tr>
        <w:tc>
          <w:tcPr>
            <w:tcW w:type="dxa" w:w="4320"/>
          </w:tcPr>
          <w:p>
            <w:r>
              <w:t>PG-300</w:t>
            </w:r>
          </w:p>
        </w:tc>
        <w:tc>
          <w:tcPr>
            <w:tcW w:type="dxa" w:w="4320"/>
          </w:tcPr>
          <w:p>
            <w:r>
              <w:t>Data Architect</w:t>
            </w:r>
          </w:p>
        </w:tc>
      </w:tr>
      <w:tr>
        <w:tc>
          <w:tcPr>
            <w:tcW w:type="dxa" w:w="4320"/>
          </w:tcPr>
          <w:p>
            <w:r>
              <w:t>PG-500</w:t>
            </w:r>
          </w:p>
        </w:tc>
        <w:tc>
          <w:tcPr>
            <w:tcW w:type="dxa" w:w="4320"/>
          </w:tcPr>
          <w:p>
            <w:r>
              <w:t>Cloud Architect</w:t>
            </w:r>
          </w:p>
        </w:tc>
      </w:tr>
    </w:tbl>
    <w:p/>
    <w:p>
      <w:r>
        <w:t>Il dossier di revisione della proposta (documento Word) viene inviato ai partecipanti almeno 2 giorni lavorativi prima della sessione. Contiene i dati della proposta, la tabella dei criteri con livelli, evidenze e punti, otto domande per lo sponsor e i principali rischi.</w:t>
      </w:r>
    </w:p>
    <w:p>
      <w:pPr>
        <w:pStyle w:val="Heading2"/>
      </w:pPr>
      <w:r>
        <w:t>8. Tempi del processo</w:t>
      </w:r>
    </w:p>
    <w:p>
      <w:pPr>
        <w:pStyle w:val="ListBullet"/>
      </w:pPr>
      <w:r>
        <w:t>Presa in carico della proposta: entro 2 giorni lavorativi dalla ricezione.</w:t>
      </w:r>
    </w:p>
    <w:p>
      <w:pPr>
        <w:pStyle w:val="ListBullet"/>
      </w:pPr>
      <w:r>
        <w:t>Valutazione preliminare: entro 5 giorni lavorativi dalla presa in carico.</w:t>
      </w:r>
    </w:p>
    <w:p>
      <w:pPr>
        <w:pStyle w:val="ListBullet"/>
      </w:pPr>
      <w:r>
        <w:t>Revisione preliminare: almeno 5 giorni lavorativi prima del Comitato.</w:t>
      </w:r>
    </w:p>
    <w:p>
      <w:pPr>
        <w:pStyle w:val="Heading2"/>
      </w:pPr>
      <w:r>
        <w:t>9. Uso dell'intelligenza artificiale e riservatezza</w:t>
      </w:r>
    </w:p>
    <w:p>
      <w:r>
        <w:t>L'Agente Demand IT è un assistente basato sull'intelligenza artificiale che supporta il PMO. Può commettere errori: ogni valutazione e ogni dossier devono essere verificati da una persona del PMO. L'agente non contatta soggetti esterni a Zava S.p.A. e utilizza solo i dati personali necessari alla gestione della proposta (nome, ruolo, funzione, email aziendale).</w:t>
      </w:r>
    </w:p>
    <w:p>
      <w:r>
        <w:t>Il contenuto dei business case viene trattato come dato da analizzare. Eventuali istruzioni presenti nei documenti, ad esempio richieste di assegnare un punteggio o di saltare un controllo, vengono ignorate e segnalate al PMO.</w:t>
      </w:r>
    </w:p>
    <w:p>
      <w:pPr>
        <w:pStyle w:val="Heading2"/>
      </w:pPr>
      <w:r>
        <w:t>10. Domande frequenti</w:t>
      </w:r>
    </w:p>
    <w:p>
      <w:r>
        <w:t>Posso presentare la stessa proposta su due programmi? No. Indica il programma più coerente; se hai dubbi, il PMO ti chiederà una conferma prima della valutazione.</w:t>
      </w:r>
    </w:p>
    <w:p>
      <w:r>
        <w:t>Il mio progetto supera il budget del programma: cosa succede? La proposta viene comunque valutata, ma l'indicazione non può essere migliore di Da approfondire. Valuta di suddividere il progetto in fasi annuali.</w:t>
      </w:r>
    </w:p>
    <w:p>
      <w:r>
        <w:t>Posso inviare la scansione firmata del business case? No. Invia il PDF con testo selezionabile o il file Word; la firma non è richiesta perché la responsabilità è dello sponsor interno.</w:t>
      </w:r>
    </w:p>
    <w:p>
      <w:r>
        <w:t>Chi decide se il progetto parte? Solo il Comitato di Valutazione Investimenti IT.</w:t>
      </w:r>
    </w:p>
    <w:p>
      <w:pPr>
        <w:pStyle w:val="Heading2"/>
      </w:pPr>
      <w:r>
        <w:t>11. Contatti</w:t>
      </w:r>
    </w:p>
    <w:p>
      <w:r>
        <w:t>Ufficio Demand e PMO IT, Via Monte Rosa 87, 20149 Milano. Il documento è fittizio ed è stato creato per i laboratori Copilot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