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Dossier di revisione della proposta</w:t>
      </w:r>
    </w:p>
    <w:p>
      <w:pPr>
        <w:jc w:val="center"/>
      </w:pPr>
      <w:r>
        <w:rPr>
          <w:b w:val="0"/>
          <w:i/>
          <w:sz w:val="24"/>
        </w:rPr>
        <w:t>Portale fornitori self-service</w:t>
      </w:r>
    </w:p>
    <w:p>
      <w:pPr>
        <w:jc w:val="center"/>
      </w:pPr>
      <w:r>
        <w:rPr>
          <w:b w:val="0"/>
          <w:i w:val="0"/>
          <w:sz w:val="18"/>
        </w:rPr>
        <w:t>Proposta PP-10000 - Valutazione VL-10000 - Generato il 13/10/2026</w:t>
      </w:r>
    </w:p>
    <w:p>
      <w:pPr>
        <w:pStyle w:val="Heading2"/>
      </w:pPr>
      <w:r>
        <w:t>Proponente</w:t>
      </w:r>
    </w:p>
    <w:p>
      <w:pPr>
        <w:pStyle w:val="ListBullet"/>
      </w:pPr>
      <w:r>
        <w:rPr>
          <w:b/>
        </w:rPr>
        <w:t xml:space="preserve">Nome: </w:t>
      </w:r>
      <w:r>
        <w:t>Giulia Ferrari</w:t>
      </w:r>
    </w:p>
    <w:p>
      <w:pPr>
        <w:pStyle w:val="ListBullet"/>
      </w:pPr>
      <w:r>
        <w:rPr>
          <w:b/>
        </w:rPr>
        <w:t xml:space="preserve">Ruolo e funzione: </w:t>
      </w:r>
      <w:r>
        <w:t>Responsabile Ufficio Acquisti - Acquisti</w:t>
      </w:r>
    </w:p>
    <w:p>
      <w:pPr>
        <w:pStyle w:val="ListBullet"/>
      </w:pPr>
      <w:r>
        <w:rPr>
          <w:b/>
        </w:rPr>
        <w:t xml:space="preserve">Email: </w:t>
      </w:r>
      <w:r>
        <w:t>giulia.ferrari@zava-demo.example</w:t>
      </w:r>
    </w:p>
    <w:p>
      <w:pPr>
        <w:pStyle w:val="Heading2"/>
      </w:pPr>
      <w:r>
        <w:t>Programma</w:t>
      </w:r>
    </w:p>
    <w:p>
      <w:pPr>
        <w:pStyle w:val="ListBullet"/>
      </w:pPr>
      <w:r>
        <w:rPr>
          <w:b/>
        </w:rPr>
        <w:t xml:space="preserve">Programma: </w:t>
      </w:r>
      <w:r>
        <w:t>PG-100 Trasformazione Digitale dei Processi</w:t>
      </w:r>
    </w:p>
    <w:p>
      <w:pPr>
        <w:pStyle w:val="ListBullet"/>
      </w:pPr>
      <w:r>
        <w:rPr>
          <w:b/>
        </w:rPr>
        <w:t xml:space="preserve">Budget richiesto: </w:t>
      </w:r>
      <w:r>
        <w:t>€ 180.000,00 (durata 9 mesi)</w:t>
      </w:r>
    </w:p>
    <w:p>
      <w:pPr>
        <w:pStyle w:val="ListBullet"/>
      </w:pPr>
      <w:r>
        <w:rPr>
          <w:b/>
        </w:rPr>
        <w:t xml:space="preserve">Budget disponibile del programma: </w:t>
      </w:r>
      <w:r>
        <w:t>€ 600.000,00</w:t>
      </w:r>
    </w:p>
    <w:p>
      <w:pPr>
        <w:pStyle w:val="Heading2"/>
      </w:pPr>
      <w:r>
        <w:t>Sintesi della proposta</w:t>
      </w:r>
    </w:p>
    <w:p>
      <w:r>
        <w:rPr>
          <w:b w:val="0"/>
          <w:i w:val="0"/>
          <w:sz w:val="21"/>
        </w:rPr>
        <w:t>L'Ufficio Acquisti propone un portale self-service per i circa 1.200 fornitori attivi, realizzato con Power Pages e Dataverse e integrato con Dynamics 365 Finance. Il portale riduce le email di richiesta informazioni, rende i fornitori autonomi nell'aggiornamento dei propri dati e accorcia la qualifica dei nuovi fornitori da 15 a 5 giorni lavorativi. Investimento richiesto 180.000 euro in 9 mesi.</w:t>
      </w:r>
    </w:p>
    <w:p>
      <w:pPr>
        <w:pStyle w:val="Heading2"/>
      </w:pPr>
      <w:r>
        <w:t>Criteri di valutazione ed evidenze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Livello</w:t>
            </w:r>
          </w:p>
        </w:tc>
        <w:tc>
          <w:tcPr>
            <w:tcW w:type="dxa" w:w="1728"/>
          </w:tcPr>
          <w:p>
            <w:r>
              <w:t>Evidenza</w:t>
            </w:r>
          </w:p>
        </w:tc>
        <w:tc>
          <w:tcPr>
            <w:tcW w:type="dxa" w:w="1728"/>
          </w:tcPr>
          <w:p>
            <w:r>
              <w:t>Punti</w:t>
            </w:r>
          </w:p>
        </w:tc>
      </w:tr>
      <w:tr>
        <w:tc>
          <w:tcPr>
            <w:tcW w:type="dxa" w:w="1728"/>
          </w:tcPr>
          <w:p>
            <w:r>
              <w:t>Allineamento strategico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Forte</w:t>
            </w:r>
          </w:p>
        </w:tc>
        <w:tc>
          <w:tcPr>
            <w:tcW w:type="dxa" w:w="1728"/>
          </w:tcPr>
          <w:p>
            <w:r>
              <w:t>Digitalizza la qualifica e la gestione dei fornitori: contribuisce agli obiettivi OS1 e OS4 del Piano Strategico IT 2026-2028.</w:t>
            </w:r>
          </w:p>
        </w:tc>
        <w:tc>
          <w:tcPr>
            <w:tcW w:type="dxa" w:w="1728"/>
          </w:tcPr>
          <w:p>
            <w:r>
              <w:t>25,0</w:t>
            </w:r>
          </w:p>
        </w:tc>
      </w:tr>
      <w:tr>
        <w:tc>
          <w:tcPr>
            <w:tcW w:type="dxa" w:w="1728"/>
          </w:tcPr>
          <w:p>
            <w:r>
              <w:t>Benefici economici misurabili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Forte</w:t>
            </w:r>
          </w:p>
        </w:tc>
        <w:tc>
          <w:tcPr>
            <w:tcW w:type="dxa" w:w="1728"/>
          </w:tcPr>
          <w:p>
            <w:r>
              <w:t>Risparmio stimato di 120.000 euro all'anno e -40% email su baseline di 3.500.</w:t>
            </w:r>
          </w:p>
        </w:tc>
        <w:tc>
          <w:tcPr>
            <w:tcW w:type="dxa" w:w="1728"/>
          </w:tcPr>
          <w:p>
            <w:r>
              <w:t>25,0</w:t>
            </w:r>
          </w:p>
        </w:tc>
      </w:tr>
      <w:tr>
        <w:tc>
          <w:tcPr>
            <w:tcW w:type="dxa" w:w="1728"/>
          </w:tcPr>
          <w:p>
            <w:r>
              <w:t>Impatto sui processi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Forte</w:t>
            </w:r>
          </w:p>
        </w:tc>
        <w:tc>
          <w:tcPr>
            <w:tcW w:type="dxa" w:w="1728"/>
          </w:tcPr>
          <w:p>
            <w:r>
              <w:t>1.200 fornitori coinvolti; qualifica da 15 a 5 giorni lavorativi.</w:t>
            </w:r>
          </w:p>
        </w:tc>
        <w:tc>
          <w:tcPr>
            <w:tcW w:type="dxa" w:w="1728"/>
          </w:tcPr>
          <w:p>
            <w:r>
              <w:t>20,0</w:t>
            </w:r>
          </w:p>
        </w:tc>
      </w:tr>
      <w:tr>
        <w:tc>
          <w:tcPr>
            <w:tcW w:type="dxa" w:w="1728"/>
          </w:tcPr>
          <w:p>
            <w:r>
              <w:t>Fattibilità e rischio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Moderata</w:t>
            </w:r>
          </w:p>
        </w:tc>
        <w:tc>
          <w:tcPr>
            <w:tcW w:type="dxa" w:w="1728"/>
          </w:tcPr>
          <w:p>
            <w:r>
              <w:t>Pilota al mese 5; dipendenza dal team ERP per le API dei pagamenti.</w:t>
            </w:r>
          </w:p>
        </w:tc>
        <w:tc>
          <w:tcPr>
            <w:tcW w:type="dxa" w:w="1728"/>
          </w:tcPr>
          <w:p>
            <w:r>
              <w:t>9,0</w:t>
            </w:r>
          </w:p>
        </w:tc>
      </w:tr>
      <w:tr>
        <w:tc>
          <w:tcPr>
            <w:tcW w:type="dxa" w:w="1728"/>
          </w:tcPr>
          <w:p>
            <w:r>
              <w:t>Riuso delle piattaforme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Forte</w:t>
            </w:r>
          </w:p>
        </w:tc>
        <w:tc>
          <w:tcPr>
            <w:tcW w:type="dxa" w:w="1728"/>
          </w:tcPr>
          <w:p>
            <w:r>
              <w:t>Power Pages, Dataverse e Power Automate già disponibili in azienda.</w:t>
            </w:r>
          </w:p>
        </w:tc>
        <w:tc>
          <w:tcPr>
            <w:tcW w:type="dxa" w:w="1728"/>
          </w:tcPr>
          <w:p>
            <w:r>
              <w:t>15,0</w:t>
            </w:r>
          </w:p>
        </w:tc>
      </w:tr>
    </w:tbl>
    <w:p>
      <w:pPr>
        <w:spacing w:before="120"/>
      </w:pPr>
      <w:r>
        <w:rPr>
          <w:b/>
          <w:i w:val="0"/>
          <w:sz w:val="22"/>
        </w:rPr>
        <w:t>Punteggio complessivo: 94,0/100</w:t>
      </w:r>
    </w:p>
    <w:p>
      <w:pPr>
        <w:pStyle w:val="Heading2"/>
      </w:pPr>
      <w:r>
        <w:t>Domande per lo sponsor</w:t>
      </w:r>
    </w:p>
    <w:p>
      <w:r>
        <w:rPr>
          <w:b/>
          <w:i w:val="0"/>
          <w:sz w:val="21"/>
        </w:rPr>
        <w:t>Allineamento strategico (peso 25%)</w:t>
      </w:r>
    </w:p>
    <w:p>
      <w:r>
        <w:t>1. Quali obiettivi del Piano Strategico IT 2026-2028 vengono supportati in modo diretto dal portale?</w:t>
      </w:r>
    </w:p>
    <w:p>
      <w:r>
        <w:rPr>
          <w:b w:val="0"/>
          <w:i/>
          <w:sz w:val="19"/>
        </w:rPr>
        <w:t xml:space="preserve">    Verifica: Collegamento esplicito alla strategia aziendale</w:t>
      </w:r>
    </w:p>
    <w:p>
      <w:r>
        <w:t>2. Il portale sostituisce strumenti o processi oggi in uso che verranno dismessi?</w:t>
      </w:r>
    </w:p>
    <w:p>
      <w:r>
        <w:rPr>
          <w:b w:val="0"/>
          <w:i/>
          <w:sz w:val="19"/>
        </w:rPr>
        <w:t xml:space="preserve">    Verifica: Razionalizzazione degli strumenti esistenti</w:t>
      </w:r>
    </w:p>
    <w:p>
      <w:r>
        <w:rPr>
          <w:b/>
          <w:i w:val="0"/>
          <w:sz w:val="21"/>
        </w:rPr>
        <w:t>Benefici economici misurabili (peso 25%)</w:t>
      </w:r>
    </w:p>
    <w:p>
      <w:r>
        <w:t>3. Come è stato calcolato il risparmio di 120.000 euro all'anno e chi certificherà la baseline?</w:t>
      </w:r>
    </w:p>
    <w:p>
      <w:r>
        <w:rPr>
          <w:b w:val="0"/>
          <w:i/>
          <w:sz w:val="19"/>
        </w:rPr>
        <w:t xml:space="preserve">    Verifica: Solidità della stima dei benefici</w:t>
      </w:r>
    </w:p>
    <w:p>
      <w:r>
        <w:t>4. Quali KPI verranno misurati nei primi 6 mesi e con quale frequenza?</w:t>
      </w:r>
    </w:p>
    <w:p>
      <w:r>
        <w:rPr>
          <w:b w:val="0"/>
          <w:i/>
          <w:sz w:val="19"/>
        </w:rPr>
        <w:t xml:space="preserve">    Verifica: Piano di misura dei benefici</w:t>
      </w:r>
    </w:p>
    <w:p>
      <w:r>
        <w:rPr>
          <w:b/>
          <w:i w:val="0"/>
          <w:sz w:val="21"/>
        </w:rPr>
        <w:t>Impatto sui processi (peso 20%)</w:t>
      </w:r>
    </w:p>
    <w:p>
      <w:r>
        <w:t>5. Quali passaggi della qualifica fornitori verranno eliminati o automatizzati?</w:t>
      </w:r>
    </w:p>
    <w:p>
      <w:r>
        <w:rPr>
          <w:b w:val="0"/>
          <w:i/>
          <w:sz w:val="19"/>
        </w:rPr>
        <w:t xml:space="preserve">    Verifica: Riduzione reale delle attività manuali</w:t>
      </w:r>
    </w:p>
    <w:p>
      <w:r>
        <w:t>6. Come verranno gestiti i fornitori che non useranno il portale?</w:t>
      </w:r>
    </w:p>
    <w:p>
      <w:r>
        <w:rPr>
          <w:b w:val="0"/>
          <w:i/>
          <w:sz w:val="19"/>
        </w:rPr>
        <w:t xml:space="preserve">    Verifica: Copertura del processo</w:t>
      </w:r>
    </w:p>
    <w:p>
      <w:r>
        <w:rPr>
          <w:b/>
          <w:i w:val="0"/>
          <w:sz w:val="21"/>
        </w:rPr>
        <w:t>Fattibilità e rischio (peso 15%)</w:t>
      </w:r>
    </w:p>
    <w:p>
      <w:r>
        <w:t>7. Quali sono i tempi concordati con il team ERP per le API di stato dei pagamenti?</w:t>
      </w:r>
    </w:p>
    <w:p>
      <w:r>
        <w:rPr>
          <w:b w:val="0"/>
          <w:i/>
          <w:sz w:val="19"/>
        </w:rPr>
        <w:t xml:space="preserve">    Verifica: Gestione della dipendenza critica</w:t>
      </w:r>
    </w:p>
    <w:p>
      <w:r>
        <w:rPr>
          <w:b/>
          <w:i w:val="0"/>
          <w:sz w:val="21"/>
        </w:rPr>
        <w:t>Riuso delle piattaforme (peso 15%)</w:t>
      </w:r>
    </w:p>
    <w:p>
      <w:r>
        <w:t>8. Quali componenti esistenti di Power Platform verranno riusati e quali andranno costruiti da zero?</w:t>
      </w:r>
    </w:p>
    <w:p>
      <w:r>
        <w:rPr>
          <w:b w:val="0"/>
          <w:i/>
          <w:sz w:val="19"/>
        </w:rPr>
        <w:t xml:space="preserve">    Verifica: Effettivo riuso delle piattaforme</w:t>
      </w:r>
    </w:p>
    <w:p>
      <w:pPr>
        <w:pStyle w:val="Heading2"/>
      </w:pPr>
      <w:r>
        <w:t>Rischi e punti di attenzione</w:t>
      </w:r>
    </w:p>
    <w:p>
      <w:pPr>
        <w:pStyle w:val="ListBullet"/>
      </w:pPr>
      <w:r>
        <w:t>Adozione da parte dei fornitori di piccole dimensioni.</w:t>
      </w:r>
    </w:p>
    <w:p>
      <w:pPr>
        <w:pStyle w:val="ListBullet"/>
      </w:pPr>
      <w:r>
        <w:t>Le modifiche alle coordinate bancarie richiedono un controllo antifrode con doppia verifica.</w:t>
      </w:r>
    </w:p>
    <w:p>
      <w:r>
        <w:rPr>
          <w:b w:val="0"/>
          <w:i/>
          <w:sz w:val="17"/>
        </w:rPr>
        <w:t>Documento di supporto preparato con l'intelligenza artificiale. Verificare i contenuti prima dell'uso. Livelli e punteggi sono proposte: la decisione sulla proposta spetta al Comitato di Valutazione.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