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Unidad Territorial</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245.9765625"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San Joaquin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25/10/2024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Buena sinergia del equipo, impulsando el avance acorde a los tiempos de las historias asignadas para el sprint</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Falta de definiciones más exactas en las historias de usuario levantadas</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Refinar las historias de usuario más en detalle para mitigar problemas de comprensión y organizar de mejor manera las tareas de cara historia.</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PQe0D//DrjnxbUEuKhGfXTtXtw==">CgMxLjA4AHIhMWlmb2RYLV9lanZtTE1Zd0R1ZmwxMGpPNnZwR2pJQUd1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