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Alexander Cannell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CSIA 6200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Professor Rob Robertson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3/4/2016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Physical Security Assessment (PSA) Plan: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My Contributions: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like what Jared posted. I feel this is going to be like our vulnerability assessment 1.0. Everything I have been looking at in regards to Physical security assessment involves some sort of incidence response team for both physical and cyber domains. I think our assessment should include a formation and roles of incident response team.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http://www.bankinfosecurity.com/how-to-perform-physical-security-risk-assessment-a-694/op-1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http://www.sans.org/reading-room/whitepapers/incident/creating-managing-incident-response-team-large-company-1821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http://modulo.com/security-risk-management/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(Alexander Cannell)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Honestly I feel like we are going back to the four essential steps we listed in the previous VAM Module Identify, Analyze, Mitigate, and Manage.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Identify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Threat Identification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Asset Assessment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ind w:left="216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Inventory of current assets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ind w:left="216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Value of assets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ind w:left="216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Rank asset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Analyze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Analyze activities/traffic and form baselines for ‘normal’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Monitor for vulnerabilities, compromises, departures from ‘normal’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Perform penetration testing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Risk Assessment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Mitigate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Take measures to fix problems found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Alter policies if needed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Manage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Document changes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Assess implemented fixes and monitor to ensure their success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Repeat steps when needed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drawing>
          <wp:inline distB="114300" distT="114300" distL="114300" distR="114300">
            <wp:extent cx="5943600" cy="1955800"/>
            <wp:effectExtent b="0" l="0" r="0" t="0"/>
            <wp:docPr descr="VAM 2.0.png" id="1" name="image01.png"/>
            <a:graphic>
              <a:graphicData uri="http://schemas.openxmlformats.org/drawingml/2006/picture">
                <pic:pic>
                  <pic:nvPicPr>
                    <pic:cNvPr descr="VAM 2.0.png" id="0" name="image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highlight w:val="white"/>
          <w:rtl w:val="0"/>
        </w:rPr>
        <w:t xml:space="preserve">(Alexander Cannell)</w:t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bankinfosecurity.com/how-to-perform-physical-security-risk-assessment-a-694/op-1" TargetMode="External"/><Relationship Id="rId6" Type="http://schemas.openxmlformats.org/officeDocument/2006/relationships/hyperlink" Target="http://www.sans.org/reading-room/whitepapers/incident/creating-managing-incident-response-team-large-company-1821" TargetMode="External"/><Relationship Id="rId7" Type="http://schemas.openxmlformats.org/officeDocument/2006/relationships/hyperlink" Target="http://modulo.com/security-risk-management/" TargetMode="External"/><Relationship Id="rId8" Type="http://schemas.openxmlformats.org/officeDocument/2006/relationships/image" Target="media/image01.png"/></Relationships>
</file>