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3074018"/>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3074018"/>
                    </a:xfrm>
                    <a:prstGeom prst="rect"/>
                  </pic:spPr>
                </pic:pic>
              </a:graphicData>
            </a:graphic>
          </wp:inline>
        </w:drawing>
      </w:r>
    </w:p>
    <w:p>
      <w:pPr>
        <w:jc w:val="center"/>
      </w:pPr>
      <w:r>
        <w:rPr>
          <w:color w:val="5A646C"/>
          <w:sz w:val="17"/>
        </w:rPr>
        <w:t>图 1  TRANSCRIPT 官方 100 种子 NS-AUC 分布（本项目方法高亮）</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735611"/>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735611"/>
                    </a:xfrm>
                    <a:prstGeom prst="rect"/>
                  </pic:spPr>
                </pic:pic>
              </a:graphicData>
            </a:graphic>
          </wp:inline>
        </w:drawing>
      </w:r>
    </w:p>
    <w:p>
      <w:pPr>
        <w:jc w:val="center"/>
      </w:pPr>
      <w:r>
        <w:rPr>
          <w:color w:val="5A646C"/>
          <w:sz w:val="17"/>
        </w:rPr>
        <w:t>图 2  GSE32863 配对差异表达火山图（FDR&lt;0.05，|log2FC|≥1）</w:t>
      </w:r>
    </w:p>
    <w:p>
      <w:pPr>
        <w:jc w:val="center"/>
      </w:pPr>
      <w:r>
        <w:drawing>
          <wp:inline xmlns:a="http://schemas.openxmlformats.org/drawingml/2006/main" xmlns:pic="http://schemas.openxmlformats.org/drawingml/2006/picture">
            <wp:extent cx="6035040" cy="3811604"/>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811604"/>
                    </a:xfrm>
                    <a:prstGeom prst="rect"/>
                  </pic:spPr>
                </pic:pic>
              </a:graphicData>
            </a:graphic>
          </wp:inline>
        </w:drawing>
      </w:r>
    </w:p>
    <w:p>
      <w:pPr>
        <w:jc w:val="center"/>
      </w:pPr>
      <w:r>
        <w:rPr>
          <w:color w:val="5A646C"/>
          <w:sz w:val="17"/>
        </w:rPr>
        <w:t>图 3  LUAD Top-10 候选的药物—靶点—通路网络（仅使用已记录的靶点与通路）</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5711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571128"/>
                    </a:xfrm>
                    <a:prstGeom prst="rect"/>
                  </pic:spPr>
                </pic:pic>
              </a:graphicData>
            </a:graphic>
          </wp:inline>
        </w:drawing>
      </w:r>
    </w:p>
    <w:p>
      <w:pPr>
        <w:jc w:val="center"/>
      </w:pPr>
      <w:r>
        <w:rPr>
          <w:color w:val="5A646C"/>
          <w:sz w:val="17"/>
        </w:rPr>
        <w:t>图 4  LUAD 疾病签名的 Hallmark 通路富集</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2693261"/>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2693261"/>
                    </a:xfrm>
                    <a:prstGeom prst="rect"/>
                  </pic:spPr>
                </pic:pic>
              </a:graphicData>
            </a:graphic>
          </wp:inline>
        </w:drawing>
      </w:r>
    </w:p>
    <w:p>
      <w:pPr>
        <w:jc w:val="center"/>
      </w:pPr>
      <w:r>
        <w:rPr>
          <w:color w:val="5A646C"/>
          <w:sz w:val="17"/>
        </w:rPr>
        <w:t>图 5  Top-10 候选在显著 Hallmark 通路上的反转百分位</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1"/>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标签；DeepSeek 返回的调用还须经过工具名、参数、输入和模式权限验证，不可用工具会失效关闭到人工复核。全部状态写入 </w:t>
      </w:r>
      <w:r>
        <w:t>agent_run.json</w:t>
      </w:r>
      <w:r>
        <w:t>。可选 Jev 适配器仍没有真实凭据或结果。项目另提供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